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D1B8" w14:textId="77777777" w:rsidR="002A5F7D" w:rsidRPr="002A5F7D" w:rsidRDefault="002A5F7D" w:rsidP="002A5F7D">
      <w:pPr>
        <w:spacing w:after="12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na ochranu rastlín pre profesionálnych používateľov</w:t>
      </w:r>
    </w:p>
    <w:p w14:paraId="2C088060" w14:textId="19FB4528" w:rsidR="002A5F7D" w:rsidRDefault="00CF1CC7" w:rsidP="00CF1CC7">
      <w:pPr>
        <w:keepNext/>
        <w:spacing w:after="0" w:line="240" w:lineRule="auto"/>
        <w:jc w:val="center"/>
        <w:outlineLvl w:val="3"/>
        <w:rPr>
          <w:rFonts w:ascii="Times New Roman" w:eastAsia="Times New Roman" w:hAnsi="Times New Roman" w:cs="Times New Roman"/>
          <w:b/>
          <w:caps/>
          <w:sz w:val="40"/>
          <w:szCs w:val="40"/>
          <w:lang w:eastAsia="cs-CZ"/>
        </w:rPr>
      </w:pPr>
      <w:r>
        <w:rPr>
          <w:rFonts w:ascii="Times New Roman" w:eastAsia="Times New Roman" w:hAnsi="Times New Roman" w:cs="Times New Roman"/>
          <w:b/>
          <w:caps/>
          <w:sz w:val="40"/>
          <w:szCs w:val="40"/>
          <w:lang w:eastAsia="cs-CZ"/>
        </w:rPr>
        <w:t>THIFEN</w:t>
      </w:r>
    </w:p>
    <w:p w14:paraId="5798D477" w14:textId="77777777" w:rsidR="00CF1CC7" w:rsidRPr="002A5F7D" w:rsidRDefault="00CF1CC7" w:rsidP="00CF1CC7">
      <w:pPr>
        <w:keepNext/>
        <w:spacing w:after="0" w:line="240" w:lineRule="auto"/>
        <w:jc w:val="center"/>
        <w:outlineLvl w:val="3"/>
        <w:rPr>
          <w:rFonts w:ascii="Times New Roman" w:eastAsia="Times New Roman" w:hAnsi="Times New Roman" w:cs="Times New Roman"/>
          <w:strike/>
          <w:sz w:val="24"/>
          <w:szCs w:val="24"/>
          <w:lang w:eastAsia="cs-CZ"/>
        </w:rPr>
      </w:pPr>
    </w:p>
    <w:p w14:paraId="5D31C075" w14:textId="77777777" w:rsidR="002A5F7D" w:rsidRPr="002A5F7D" w:rsidRDefault="002A5F7D" w:rsidP="002A5F7D">
      <w:pPr>
        <w:spacing w:after="12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Postrekový selektívny herbicíd vo forme mikrogranulátu dispergovateľného vo vode na postemergentné ničenie jednoročných dvojklíčnolistových burín v kukurici, sóji, lucerne, na lúkach a pasienkoch.</w:t>
      </w:r>
    </w:p>
    <w:p w14:paraId="58B143AF" w14:textId="77777777" w:rsidR="002A5F7D" w:rsidRPr="002A5F7D" w:rsidRDefault="002A5F7D" w:rsidP="002A5F7D">
      <w:pPr>
        <w:tabs>
          <w:tab w:val="left" w:pos="1488"/>
        </w:tabs>
        <w:spacing w:after="0" w:line="240" w:lineRule="auto"/>
        <w:rPr>
          <w:rFonts w:ascii="Times New Roman" w:eastAsia="Times New Roman" w:hAnsi="Times New Roman" w:cs="Times New Roman"/>
          <w:sz w:val="24"/>
          <w:szCs w:val="24"/>
          <w:lang w:eastAsia="cs-CZ"/>
        </w:rPr>
      </w:pPr>
    </w:p>
    <w:p w14:paraId="237E8218" w14:textId="77777777" w:rsidR="002A5F7D" w:rsidRPr="002A5F7D" w:rsidRDefault="002A5F7D" w:rsidP="002A5F7D">
      <w:pPr>
        <w:widowControl w:val="0"/>
        <w:autoSpaceDE w:val="0"/>
        <w:autoSpaceDN w:val="0"/>
        <w:spacing w:after="12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caps/>
          <w:sz w:val="24"/>
          <w:szCs w:val="24"/>
          <w:lang w:eastAsia="cs-CZ"/>
        </w:rPr>
        <w:t>Účinná látka</w:t>
      </w:r>
      <w:r w:rsidRPr="002A5F7D">
        <w:rPr>
          <w:rFonts w:ascii="Times New Roman" w:eastAsia="Times New Roman" w:hAnsi="Times New Roman" w:cs="Times New Roman"/>
          <w:b/>
          <w:sz w:val="24"/>
          <w:szCs w:val="24"/>
          <w:lang w:eastAsia="cs-CZ"/>
        </w:rPr>
        <w:t>:</w:t>
      </w:r>
    </w:p>
    <w:tbl>
      <w:tblPr>
        <w:tblW w:w="9555" w:type="dxa"/>
        <w:tblCellMar>
          <w:left w:w="57" w:type="dxa"/>
          <w:right w:w="57" w:type="dxa"/>
        </w:tblCellMar>
        <w:tblLook w:val="01E0" w:firstRow="1" w:lastRow="1" w:firstColumn="1" w:lastColumn="1" w:noHBand="0" w:noVBand="0"/>
      </w:tblPr>
      <w:tblGrid>
        <w:gridCol w:w="1900"/>
        <w:gridCol w:w="2693"/>
        <w:gridCol w:w="4962"/>
      </w:tblGrid>
      <w:tr w:rsidR="002A5F7D" w:rsidRPr="002A5F7D" w14:paraId="2BD0E793" w14:textId="77777777" w:rsidTr="00985A76">
        <w:tc>
          <w:tcPr>
            <w:tcW w:w="1900" w:type="dxa"/>
          </w:tcPr>
          <w:p w14:paraId="47518D50" w14:textId="77777777" w:rsidR="002A5F7D" w:rsidRPr="002A5F7D" w:rsidRDefault="002A5F7D" w:rsidP="002A5F7D">
            <w:pPr>
              <w:spacing w:after="0" w:line="240" w:lineRule="auto"/>
              <w:ind w:right="113"/>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Thifensulfuron methyl</w:t>
            </w:r>
          </w:p>
        </w:tc>
        <w:tc>
          <w:tcPr>
            <w:tcW w:w="2693" w:type="dxa"/>
          </w:tcPr>
          <w:p w14:paraId="1EA7118D" w14:textId="77777777" w:rsidR="002A5F7D" w:rsidRPr="002A5F7D" w:rsidRDefault="002A5F7D" w:rsidP="002A5F7D">
            <w:pPr>
              <w:spacing w:after="0" w:line="240" w:lineRule="auto"/>
              <w:ind w:right="-57"/>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 xml:space="preserve">500 g/kg </w:t>
            </w:r>
          </w:p>
          <w:p w14:paraId="0A591FC0" w14:textId="77777777" w:rsidR="002A5F7D" w:rsidRPr="002A5F7D" w:rsidRDefault="002A5F7D" w:rsidP="002A5F7D">
            <w:pPr>
              <w:spacing w:after="0" w:line="240" w:lineRule="auto"/>
              <w:ind w:right="-57"/>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(50% hm)</w:t>
            </w:r>
          </w:p>
        </w:tc>
        <w:tc>
          <w:tcPr>
            <w:tcW w:w="4962" w:type="dxa"/>
          </w:tcPr>
          <w:p w14:paraId="1823ADD8" w14:textId="67021346" w:rsidR="002A5F7D" w:rsidRPr="002A5F7D" w:rsidRDefault="002A5F7D" w:rsidP="002A5F7D">
            <w:pPr>
              <w:tabs>
                <w:tab w:val="center" w:pos="4536"/>
                <w:tab w:val="right" w:pos="9072"/>
              </w:tabs>
              <w:spacing w:after="0" w:line="240" w:lineRule="auto"/>
              <w:jc w:val="both"/>
              <w:rPr>
                <w:rFonts w:ascii="Times New Roman" w:eastAsia="Times New Roman" w:hAnsi="Times New Roman" w:cs="Times New Roman"/>
                <w:sz w:val="24"/>
                <w:szCs w:val="24"/>
                <w:lang w:eastAsia="cs-CZ"/>
              </w:rPr>
            </w:pPr>
          </w:p>
        </w:tc>
      </w:tr>
      <w:tr w:rsidR="002A5F7D" w:rsidRPr="002A5F7D" w14:paraId="5165A0AA" w14:textId="77777777" w:rsidTr="00985A76">
        <w:tc>
          <w:tcPr>
            <w:tcW w:w="1900" w:type="dxa"/>
          </w:tcPr>
          <w:p w14:paraId="0850BD69" w14:textId="77777777" w:rsidR="002A5F7D" w:rsidRPr="002A5F7D" w:rsidRDefault="002A5F7D" w:rsidP="002A5F7D">
            <w:pPr>
              <w:spacing w:after="0" w:line="240" w:lineRule="auto"/>
              <w:ind w:right="113"/>
              <w:jc w:val="center"/>
              <w:rPr>
                <w:rFonts w:ascii="Times New Roman" w:eastAsia="Times New Roman" w:hAnsi="Times New Roman" w:cs="Times New Roman"/>
                <w:sz w:val="24"/>
                <w:szCs w:val="24"/>
                <w:lang w:eastAsia="cs-CZ"/>
              </w:rPr>
            </w:pPr>
          </w:p>
        </w:tc>
        <w:tc>
          <w:tcPr>
            <w:tcW w:w="2693" w:type="dxa"/>
          </w:tcPr>
          <w:p w14:paraId="1C7F11CE" w14:textId="77777777" w:rsidR="002A5F7D" w:rsidRPr="002A5F7D" w:rsidRDefault="002A5F7D" w:rsidP="002A5F7D">
            <w:pPr>
              <w:spacing w:after="0" w:line="240" w:lineRule="auto"/>
              <w:ind w:right="113"/>
              <w:jc w:val="center"/>
              <w:rPr>
                <w:rFonts w:ascii="Times New Roman" w:eastAsia="Times New Roman" w:hAnsi="Times New Roman" w:cs="Times New Roman"/>
                <w:sz w:val="24"/>
                <w:szCs w:val="24"/>
                <w:lang w:eastAsia="cs-CZ"/>
              </w:rPr>
            </w:pPr>
          </w:p>
        </w:tc>
        <w:tc>
          <w:tcPr>
            <w:tcW w:w="4962" w:type="dxa"/>
          </w:tcPr>
          <w:p w14:paraId="51DAC934" w14:textId="77777777" w:rsidR="002A5F7D" w:rsidRPr="002A5F7D" w:rsidRDefault="002A5F7D" w:rsidP="002A5F7D">
            <w:pPr>
              <w:tabs>
                <w:tab w:val="center" w:pos="4536"/>
                <w:tab w:val="right" w:pos="9072"/>
              </w:tabs>
              <w:spacing w:after="0" w:line="240" w:lineRule="auto"/>
              <w:jc w:val="both"/>
              <w:rPr>
                <w:rFonts w:ascii="Times New Roman" w:eastAsia="Times New Roman" w:hAnsi="Times New Roman" w:cs="Times New Roman"/>
                <w:sz w:val="24"/>
                <w:szCs w:val="24"/>
                <w:lang w:eastAsia="cs-CZ"/>
              </w:rPr>
            </w:pPr>
          </w:p>
        </w:tc>
      </w:tr>
    </w:tbl>
    <w:p w14:paraId="42D16C41"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7732D2E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kern w:val="28"/>
          <w:sz w:val="24"/>
          <w:szCs w:val="24"/>
          <w:lang w:eastAsia="cs-CZ"/>
        </w:rPr>
        <w:t>Látky nebezpečné pre zdravie, ktoré prispievajú ku klasifikácii prípravku</w:t>
      </w:r>
      <w:r w:rsidRPr="002A5F7D">
        <w:rPr>
          <w:rFonts w:ascii="Times New Roman" w:eastAsia="Times New Roman" w:hAnsi="Times New Roman" w:cs="Times New Roman"/>
          <w:sz w:val="24"/>
          <w:szCs w:val="24"/>
          <w:lang w:eastAsia="cs-CZ"/>
        </w:rPr>
        <w:t>:</w:t>
      </w:r>
    </w:p>
    <w:p w14:paraId="73D2BBB7"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Uhličitan sodný, CAS No.: 497-19-8</w:t>
      </w:r>
    </w:p>
    <w:p w14:paraId="767851CA"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00E6AB65" w14:textId="77777777" w:rsidR="002A5F7D" w:rsidRPr="002A5F7D" w:rsidRDefault="002A5F7D" w:rsidP="002A5F7D">
      <w:pPr>
        <w:spacing w:after="12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caps/>
          <w:sz w:val="24"/>
          <w:szCs w:val="24"/>
          <w:lang w:eastAsia="cs-CZ"/>
        </w:rPr>
        <w:t>Označenie prípravku</w:t>
      </w:r>
      <w:r w:rsidRPr="002A5F7D">
        <w:rPr>
          <w:rFonts w:ascii="Times New Roman" w:eastAsia="Times New Roman" w:hAnsi="Times New Roman" w:cs="Times New Roman"/>
          <w:b/>
          <w:sz w:val="24"/>
          <w:szCs w:val="24"/>
          <w:lang w:eastAsia="cs-CZ"/>
        </w:rPr>
        <w:t>:</w:t>
      </w:r>
    </w:p>
    <w:tbl>
      <w:tblPr>
        <w:tblW w:w="6780" w:type="dxa"/>
        <w:tblInd w:w="-34" w:type="dxa"/>
        <w:tblLook w:val="00A0" w:firstRow="1" w:lastRow="0" w:firstColumn="1" w:lastColumn="0" w:noHBand="0" w:noVBand="0"/>
      </w:tblPr>
      <w:tblGrid>
        <w:gridCol w:w="1356"/>
        <w:gridCol w:w="1356"/>
        <w:gridCol w:w="4068"/>
      </w:tblGrid>
      <w:tr w:rsidR="002A5F7D" w:rsidRPr="002A5F7D" w14:paraId="017E4A76" w14:textId="77777777" w:rsidTr="00985A76">
        <w:trPr>
          <w:gridAfter w:val="1"/>
          <w:wAfter w:w="4068" w:type="dxa"/>
        </w:trPr>
        <w:tc>
          <w:tcPr>
            <w:tcW w:w="1356" w:type="dxa"/>
          </w:tcPr>
          <w:p w14:paraId="2C4A02A8" w14:textId="77777777" w:rsidR="002A5F7D" w:rsidRPr="002A5F7D" w:rsidRDefault="002A5F7D" w:rsidP="002A5F7D">
            <w:pPr>
              <w:tabs>
                <w:tab w:val="left" w:pos="1008"/>
              </w:tabs>
              <w:spacing w:before="40" w:after="40" w:line="240" w:lineRule="auto"/>
              <w:jc w:val="center"/>
              <w:rPr>
                <w:rFonts w:ascii="Times New Roman" w:eastAsia="Times New Roman" w:hAnsi="Times New Roman" w:cs="Times New Roman"/>
                <w:sz w:val="24"/>
                <w:szCs w:val="24"/>
                <w:lang w:eastAsia="sk-SK"/>
              </w:rPr>
            </w:pPr>
            <w:r w:rsidRPr="002A5F7D">
              <w:rPr>
                <w:rFonts w:ascii="Times New Roman" w:eastAsia="Times New Roman" w:hAnsi="Times New Roman" w:cs="Times New Roman"/>
                <w:noProof/>
                <w:sz w:val="24"/>
                <w:szCs w:val="24"/>
                <w:lang w:eastAsia="sk-SK"/>
              </w:rPr>
              <w:drawing>
                <wp:inline distT="0" distB="0" distL="0" distR="0" wp14:anchorId="6F8DACE7" wp14:editId="292F1447">
                  <wp:extent cx="685800" cy="685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14:paraId="2E54AD04" w14:textId="77777777" w:rsidR="002A5F7D" w:rsidRPr="002A5F7D" w:rsidRDefault="002A5F7D" w:rsidP="002A5F7D">
            <w:pPr>
              <w:spacing w:before="40" w:after="40" w:line="240" w:lineRule="auto"/>
              <w:jc w:val="both"/>
              <w:rPr>
                <w:rFonts w:ascii="Times New Roman" w:eastAsia="Times New Roman" w:hAnsi="Times New Roman" w:cs="Times New Roman"/>
                <w:sz w:val="24"/>
                <w:szCs w:val="24"/>
                <w:lang w:eastAsia="sk-SK"/>
              </w:rPr>
            </w:pPr>
          </w:p>
        </w:tc>
      </w:tr>
      <w:tr w:rsidR="002A5F7D" w:rsidRPr="002A5F7D" w14:paraId="5E42AF99" w14:textId="77777777" w:rsidTr="00985A76">
        <w:trPr>
          <w:gridAfter w:val="1"/>
          <w:wAfter w:w="4068" w:type="dxa"/>
        </w:trPr>
        <w:tc>
          <w:tcPr>
            <w:tcW w:w="1356" w:type="dxa"/>
          </w:tcPr>
          <w:p w14:paraId="64FB3E16" w14:textId="77777777" w:rsidR="002A5F7D" w:rsidRPr="002A5F7D" w:rsidRDefault="002A5F7D" w:rsidP="002A5F7D">
            <w:pPr>
              <w:tabs>
                <w:tab w:val="left" w:pos="1008"/>
              </w:tabs>
              <w:spacing w:before="40" w:after="40" w:line="240" w:lineRule="auto"/>
              <w:jc w:val="center"/>
              <w:rPr>
                <w:rFonts w:ascii="Times New Roman" w:eastAsia="Times New Roman" w:hAnsi="Times New Roman" w:cs="Times New Roman"/>
                <w:sz w:val="24"/>
                <w:szCs w:val="24"/>
                <w:lang w:eastAsia="sk-SK"/>
              </w:rPr>
            </w:pPr>
            <w:r w:rsidRPr="002A5F7D">
              <w:rPr>
                <w:rFonts w:ascii="Times New Roman" w:eastAsia="Times New Roman" w:hAnsi="Times New Roman" w:cs="Times New Roman"/>
                <w:sz w:val="24"/>
                <w:szCs w:val="24"/>
                <w:lang w:eastAsia="sk-SK"/>
              </w:rPr>
              <w:t>GHS09</w:t>
            </w:r>
          </w:p>
        </w:tc>
        <w:tc>
          <w:tcPr>
            <w:tcW w:w="1356" w:type="dxa"/>
          </w:tcPr>
          <w:p w14:paraId="1589B072" w14:textId="77777777" w:rsidR="002A5F7D" w:rsidRPr="002A5F7D" w:rsidRDefault="002A5F7D" w:rsidP="002A5F7D">
            <w:pPr>
              <w:spacing w:before="40" w:after="40" w:line="240" w:lineRule="auto"/>
              <w:jc w:val="both"/>
              <w:rPr>
                <w:rFonts w:ascii="Times New Roman" w:eastAsia="Times New Roman" w:hAnsi="Times New Roman" w:cs="Times New Roman"/>
                <w:sz w:val="24"/>
                <w:szCs w:val="24"/>
                <w:lang w:eastAsia="sk-SK"/>
              </w:rPr>
            </w:pPr>
          </w:p>
        </w:tc>
      </w:tr>
      <w:tr w:rsidR="002A5F7D" w:rsidRPr="002A5F7D" w14:paraId="48E21EE9" w14:textId="77777777" w:rsidTr="00985A76">
        <w:tc>
          <w:tcPr>
            <w:tcW w:w="6780" w:type="dxa"/>
            <w:gridSpan w:val="3"/>
          </w:tcPr>
          <w:p w14:paraId="3F576489" w14:textId="77777777" w:rsidR="002A5F7D" w:rsidRPr="002A5F7D" w:rsidRDefault="002A5F7D" w:rsidP="002A5F7D">
            <w:pPr>
              <w:spacing w:after="120" w:line="240" w:lineRule="auto"/>
              <w:jc w:val="both"/>
              <w:rPr>
                <w:rFonts w:ascii="Times New Roman" w:eastAsia="Times New Roman" w:hAnsi="Times New Roman" w:cs="Times New Roman"/>
                <w:color w:val="A6A6A6" w:themeColor="background1" w:themeShade="A6"/>
                <w:sz w:val="24"/>
                <w:szCs w:val="24"/>
                <w:lang w:eastAsia="sk-SK"/>
              </w:rPr>
            </w:pPr>
          </w:p>
          <w:p w14:paraId="16B8C173" w14:textId="77777777" w:rsidR="002A5F7D" w:rsidRPr="002A5F7D" w:rsidRDefault="002A5F7D" w:rsidP="002A5F7D">
            <w:pPr>
              <w:spacing w:after="120" w:line="240" w:lineRule="auto"/>
              <w:jc w:val="both"/>
              <w:rPr>
                <w:rFonts w:ascii="Times New Roman" w:eastAsia="Times New Roman" w:hAnsi="Times New Roman" w:cs="Times New Roman"/>
                <w:b/>
                <w:sz w:val="24"/>
                <w:szCs w:val="24"/>
                <w:lang w:eastAsia="sk-SK"/>
              </w:rPr>
            </w:pPr>
            <w:r w:rsidRPr="002A5F7D">
              <w:rPr>
                <w:rFonts w:ascii="Times New Roman" w:eastAsia="Times New Roman" w:hAnsi="Times New Roman" w:cs="Times New Roman"/>
                <w:b/>
                <w:sz w:val="28"/>
                <w:szCs w:val="28"/>
                <w:lang w:eastAsia="sk-SK"/>
              </w:rPr>
              <w:t>Pozor</w:t>
            </w:r>
            <w:r w:rsidRPr="002A5F7D">
              <w:rPr>
                <w:rFonts w:ascii="Times New Roman" w:eastAsia="Times New Roman" w:hAnsi="Times New Roman" w:cs="Times New Roman"/>
                <w:b/>
                <w:sz w:val="24"/>
                <w:szCs w:val="24"/>
                <w:lang w:eastAsia="sk-SK"/>
              </w:rPr>
              <w:t xml:space="preserve"> </w:t>
            </w:r>
          </w:p>
        </w:tc>
      </w:tr>
    </w:tbl>
    <w:p w14:paraId="25C8AB16"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1E5827B0"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b/>
          <w:sz w:val="24"/>
          <w:szCs w:val="24"/>
        </w:rPr>
      </w:pPr>
      <w:r w:rsidRPr="002A5F7D">
        <w:rPr>
          <w:rFonts w:ascii="Times New Roman" w:eastAsia="Times New Roman" w:hAnsi="Times New Roman" w:cs="Times New Roman"/>
          <w:b/>
          <w:sz w:val="24"/>
          <w:szCs w:val="24"/>
        </w:rPr>
        <w:t>H410</w:t>
      </w:r>
      <w:r w:rsidRPr="002A5F7D">
        <w:rPr>
          <w:rFonts w:ascii="Times New Roman" w:eastAsia="Times New Roman" w:hAnsi="Times New Roman" w:cs="Times New Roman"/>
          <w:b/>
          <w:sz w:val="24"/>
          <w:szCs w:val="24"/>
        </w:rPr>
        <w:tab/>
        <w:t>Veľmi toxický pre vodné organizmy, s dlhodobými účinkami.</w:t>
      </w:r>
    </w:p>
    <w:p w14:paraId="36F7435C"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b/>
          <w:sz w:val="24"/>
          <w:szCs w:val="24"/>
        </w:rPr>
      </w:pPr>
      <w:r w:rsidRPr="002A5F7D">
        <w:rPr>
          <w:rFonts w:ascii="Times New Roman" w:eastAsia="Times New Roman" w:hAnsi="Times New Roman" w:cs="Times New Roman"/>
          <w:b/>
          <w:sz w:val="24"/>
          <w:szCs w:val="24"/>
        </w:rPr>
        <w:t>EUH401</w:t>
      </w:r>
      <w:r w:rsidRPr="002A5F7D">
        <w:rPr>
          <w:rFonts w:ascii="Times New Roman" w:eastAsia="Times New Roman" w:hAnsi="Times New Roman" w:cs="Times New Roman"/>
          <w:b/>
          <w:sz w:val="24"/>
          <w:szCs w:val="24"/>
        </w:rPr>
        <w:tab/>
        <w:t>Dodržiavajte návod na používanie, aby ste zabránili vzniku rizík pre zdravie ľudí a životné prostredie.</w:t>
      </w:r>
    </w:p>
    <w:p w14:paraId="46DFF1A5"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sz w:val="24"/>
          <w:szCs w:val="24"/>
        </w:rPr>
      </w:pPr>
      <w:r w:rsidRPr="002A5F7D">
        <w:rPr>
          <w:rFonts w:ascii="Times New Roman" w:eastAsia="Times New Roman" w:hAnsi="Times New Roman" w:cs="Times New Roman"/>
          <w:sz w:val="24"/>
          <w:szCs w:val="24"/>
        </w:rPr>
        <w:t>P391</w:t>
      </w:r>
      <w:r w:rsidRPr="002A5F7D">
        <w:rPr>
          <w:rFonts w:ascii="Times New Roman" w:eastAsia="Times New Roman" w:hAnsi="Times New Roman" w:cs="Times New Roman"/>
          <w:sz w:val="24"/>
          <w:szCs w:val="24"/>
        </w:rPr>
        <w:tab/>
        <w:t>Zozbierajte uniknutý produkt.</w:t>
      </w:r>
    </w:p>
    <w:p w14:paraId="18461CE3" w14:textId="55AA4204" w:rsidR="002A5F7D" w:rsidRPr="002A5F7D" w:rsidRDefault="002A5F7D" w:rsidP="002A5F7D">
      <w:pPr>
        <w:keepNext/>
        <w:spacing w:after="0" w:line="240" w:lineRule="auto"/>
        <w:ind w:left="1134" w:hanging="1134"/>
        <w:jc w:val="both"/>
        <w:rPr>
          <w:rFonts w:ascii="Times New Roman" w:eastAsia="Times New Roman" w:hAnsi="Times New Roman" w:cs="Times New Roman"/>
          <w:sz w:val="24"/>
          <w:szCs w:val="24"/>
        </w:rPr>
      </w:pPr>
      <w:r w:rsidRPr="002A5F7D">
        <w:rPr>
          <w:rFonts w:ascii="Times New Roman" w:eastAsia="Times New Roman" w:hAnsi="Times New Roman" w:cs="Times New Roman"/>
          <w:sz w:val="24"/>
          <w:szCs w:val="24"/>
        </w:rPr>
        <w:t>P501</w:t>
      </w:r>
      <w:r w:rsidRPr="002A5F7D">
        <w:rPr>
          <w:rFonts w:ascii="Times New Roman" w:eastAsia="Times New Roman" w:hAnsi="Times New Roman" w:cs="Times New Roman"/>
          <w:sz w:val="24"/>
          <w:szCs w:val="24"/>
        </w:rPr>
        <w:tab/>
        <w:t>Zneškodnite obsah/nádobu na skládku nebezpečného odpadu alebo odovzdajte na likvidáciu subjektu, ktorý má oprávnenie na zber, recykláciu a zneškodňovanie prázdnych obalov v súlade s platným zákonom o odpadoch.</w:t>
      </w:r>
    </w:p>
    <w:p w14:paraId="54CEF10D"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p>
    <w:p w14:paraId="22026F98"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SP1</w:t>
      </w:r>
      <w:r w:rsidRPr="002A5F7D">
        <w:rPr>
          <w:rFonts w:ascii="Times New Roman" w:eastAsia="Times New Roman" w:hAnsi="Times New Roman" w:cs="Times New Roman"/>
          <w:b/>
          <w:sz w:val="24"/>
          <w:szCs w:val="24"/>
          <w:lang w:eastAsia="cs-CZ"/>
        </w:rPr>
        <w:tab/>
        <w:t>Neznečisťujte vodu prípravkom alebo jeho obalom (Nečistite aplikačné zariadenie v blízkosti povrchových vôd/Zabráňte kontaminácii prostredníctvom odtokových kanálov z poľnohospodárskych dvorov a vozoviek).</w:t>
      </w:r>
    </w:p>
    <w:p w14:paraId="527FD4F6"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p>
    <w:p w14:paraId="0D19CACB"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Z4</w:t>
      </w:r>
      <w:r w:rsidRPr="002A5F7D">
        <w:rPr>
          <w:rFonts w:ascii="Times New Roman" w:eastAsia="Times New Roman" w:hAnsi="Times New Roman" w:cs="Times New Roman"/>
          <w:b/>
          <w:sz w:val="24"/>
          <w:szCs w:val="24"/>
          <w:lang w:eastAsia="cs-CZ"/>
        </w:rPr>
        <w:tab/>
        <w:t>Riziko vyplývajúce z použitia prípravku pri dodržaní predpísanej dávky alebo koncentrácie je pre domáce, hospodárske a voľne žijúce zvieratá relatívne prijateľné.</w:t>
      </w:r>
    </w:p>
    <w:p w14:paraId="31859707"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Vt5</w:t>
      </w:r>
      <w:r w:rsidRPr="002A5F7D">
        <w:rPr>
          <w:rFonts w:ascii="Times New Roman" w:eastAsia="Times New Roman" w:hAnsi="Times New Roman" w:cs="Times New Roman"/>
          <w:b/>
          <w:sz w:val="24"/>
          <w:szCs w:val="24"/>
          <w:lang w:eastAsia="cs-CZ"/>
        </w:rPr>
        <w:tab/>
        <w:t>Riziko vyplývajúce z použitia prípravku pri dodržaní predpísanej dávky alebo koncentrácie je pre vtáky prijateľné.</w:t>
      </w:r>
    </w:p>
    <w:p w14:paraId="6CFFB3BE"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Vo2</w:t>
      </w:r>
      <w:r w:rsidRPr="002A5F7D">
        <w:rPr>
          <w:rFonts w:ascii="Times New Roman" w:eastAsia="Times New Roman" w:hAnsi="Times New Roman" w:cs="Times New Roman"/>
          <w:b/>
          <w:sz w:val="24"/>
          <w:szCs w:val="24"/>
          <w:lang w:eastAsia="cs-CZ"/>
        </w:rPr>
        <w:tab/>
        <w:t>Pre ryby a ostatné vodné organizmy jedovatý.</w:t>
      </w:r>
    </w:p>
    <w:p w14:paraId="289F75D0"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V3</w:t>
      </w:r>
      <w:r w:rsidRPr="002A5F7D">
        <w:rPr>
          <w:rFonts w:ascii="Times New Roman" w:eastAsia="Times New Roman" w:hAnsi="Times New Roman" w:cs="Times New Roman"/>
          <w:b/>
          <w:sz w:val="24"/>
          <w:szCs w:val="24"/>
          <w:lang w:eastAsia="cs-CZ"/>
        </w:rPr>
        <w:tab/>
        <w:t>Riziko prípravku je prijateľné pre dážďovky a iné pôdne makroorganizmy.</w:t>
      </w:r>
    </w:p>
    <w:p w14:paraId="087774B9"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Vč3</w:t>
      </w:r>
      <w:r w:rsidRPr="002A5F7D">
        <w:rPr>
          <w:rFonts w:ascii="Times New Roman" w:eastAsia="Times New Roman" w:hAnsi="Times New Roman" w:cs="Times New Roman"/>
          <w:b/>
          <w:sz w:val="24"/>
          <w:szCs w:val="24"/>
          <w:lang w:eastAsia="cs-CZ"/>
        </w:rPr>
        <w:tab/>
        <w:t>Prípravok pre včely s prijateľným rizikom pri dodržaní predpísanej dávky alebo koncentrácie.</w:t>
      </w:r>
    </w:p>
    <w:p w14:paraId="69C58D9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5AD6808C" w14:textId="77777777" w:rsidR="002A5F7D" w:rsidRPr="002A5F7D" w:rsidRDefault="002A5F7D" w:rsidP="002A5F7D">
      <w:pPr>
        <w:overflowPunct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Zákaz používania prípravku v 1. ochrannom pásme zdrojov pitných vôd!</w:t>
      </w:r>
    </w:p>
    <w:p w14:paraId="720E63C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Dbajte o to, aby sa prípravok v žiadnom prípade nedostal do tečúcich a stojatých vôd vo voľnej prírode.</w:t>
      </w:r>
    </w:p>
    <w:p w14:paraId="2D15EEB5"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Uložte mimo dosah</w:t>
      </w:r>
      <w:r>
        <w:rPr>
          <w:rFonts w:ascii="Times New Roman" w:eastAsia="Times New Roman" w:hAnsi="Times New Roman" w:cs="Times New Roman"/>
          <w:b/>
          <w:sz w:val="24"/>
          <w:szCs w:val="24"/>
          <w:lang w:eastAsia="cs-CZ"/>
        </w:rPr>
        <w:t>u</w:t>
      </w:r>
      <w:r w:rsidRPr="002A5F7D">
        <w:rPr>
          <w:rFonts w:ascii="Times New Roman" w:eastAsia="Times New Roman" w:hAnsi="Times New Roman" w:cs="Times New Roman"/>
          <w:b/>
          <w:sz w:val="24"/>
          <w:szCs w:val="24"/>
          <w:lang w:eastAsia="cs-CZ"/>
        </w:rPr>
        <w:t xml:space="preserve"> zvierat!</w:t>
      </w:r>
    </w:p>
    <w:p w14:paraId="3D735884"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Pred každým použitím si vždy prečítajte etiketu!</w:t>
      </w:r>
    </w:p>
    <w:p w14:paraId="5B14AB1E" w14:textId="68DAFC8A"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Cs/>
          <w:caps/>
          <w:sz w:val="24"/>
          <w:szCs w:val="24"/>
          <w:lang w:eastAsia="cs-CZ"/>
        </w:rPr>
        <w:t>PRÍPRAVOK V TOMTO VEĽKOSPOTREBITEĽSKOM BALENÍ NESMIE BYŤ PONÚKANÝ ALEBO PREDÁVANÝ ŠIROKEJ VEREJNOSTI!</w:t>
      </w:r>
    </w:p>
    <w:tbl>
      <w:tblPr>
        <w:tblW w:w="0" w:type="auto"/>
        <w:tblInd w:w="-34" w:type="dxa"/>
        <w:tblLook w:val="00A0" w:firstRow="1" w:lastRow="0" w:firstColumn="1" w:lastColumn="0" w:noHBand="0" w:noVBand="0"/>
      </w:tblPr>
      <w:tblGrid>
        <w:gridCol w:w="3580"/>
        <w:gridCol w:w="5952"/>
      </w:tblGrid>
      <w:tr w:rsidR="002A5F7D" w:rsidRPr="002A5F7D" w14:paraId="7BC53E83" w14:textId="77777777" w:rsidTr="002A5F7D">
        <w:tc>
          <w:tcPr>
            <w:tcW w:w="3580" w:type="dxa"/>
          </w:tcPr>
          <w:p w14:paraId="42F57424" w14:textId="07C7E1A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p>
        </w:tc>
        <w:tc>
          <w:tcPr>
            <w:tcW w:w="5952" w:type="dxa"/>
            <w:tcBorders>
              <w:left w:val="nil"/>
            </w:tcBorders>
          </w:tcPr>
          <w:p w14:paraId="5D75658A" w14:textId="05A0E041" w:rsidR="002A5F7D" w:rsidRPr="002A5F7D" w:rsidRDefault="002A5F7D" w:rsidP="002A5F7D">
            <w:pPr>
              <w:tabs>
                <w:tab w:val="left" w:pos="1458"/>
              </w:tabs>
              <w:spacing w:after="0" w:line="240" w:lineRule="auto"/>
              <w:jc w:val="both"/>
              <w:rPr>
                <w:rFonts w:ascii="Times New Roman" w:eastAsia="Times New Roman" w:hAnsi="Times New Roman" w:cs="Times New Roman"/>
                <w:sz w:val="24"/>
                <w:szCs w:val="24"/>
                <w:lang w:eastAsia="cs-CZ"/>
              </w:rPr>
            </w:pPr>
          </w:p>
        </w:tc>
      </w:tr>
      <w:tr w:rsidR="002A5F7D" w:rsidRPr="002A5F7D" w14:paraId="19BF53DD" w14:textId="77777777" w:rsidTr="002A5F7D">
        <w:tc>
          <w:tcPr>
            <w:tcW w:w="3580" w:type="dxa"/>
          </w:tcPr>
          <w:p w14:paraId="6AD40F77" w14:textId="3580E053" w:rsidR="002A5F7D" w:rsidRPr="002A5F7D" w:rsidRDefault="002A5F7D" w:rsidP="00CF1CC7">
            <w:pPr>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 xml:space="preserve">Držiteľ </w:t>
            </w:r>
            <w:r w:rsidR="00CF1CC7">
              <w:rPr>
                <w:rFonts w:ascii="Times New Roman" w:eastAsia="Times New Roman" w:hAnsi="Times New Roman" w:cs="Times New Roman"/>
                <w:b/>
                <w:bCs/>
                <w:sz w:val="24"/>
                <w:szCs w:val="24"/>
                <w:lang w:eastAsia="cs-CZ"/>
              </w:rPr>
              <w:t>povolenia</w:t>
            </w:r>
            <w:r w:rsidRPr="002A5F7D">
              <w:rPr>
                <w:rFonts w:ascii="Times New Roman" w:eastAsia="Times New Roman" w:hAnsi="Times New Roman" w:cs="Times New Roman"/>
                <w:b/>
                <w:bCs/>
                <w:sz w:val="24"/>
                <w:szCs w:val="24"/>
                <w:lang w:eastAsia="cs-CZ"/>
              </w:rPr>
              <w:t>:</w:t>
            </w:r>
          </w:p>
        </w:tc>
        <w:tc>
          <w:tcPr>
            <w:tcW w:w="5952" w:type="dxa"/>
            <w:tcBorders>
              <w:left w:val="nil"/>
            </w:tcBorders>
          </w:tcPr>
          <w:p w14:paraId="624F4234" w14:textId="77777777" w:rsidR="00CF1CC7" w:rsidRPr="00CF1CC7" w:rsidRDefault="00CF1CC7" w:rsidP="00CF1CC7">
            <w:pPr>
              <w:spacing w:after="0" w:line="240" w:lineRule="auto"/>
              <w:jc w:val="both"/>
              <w:rPr>
                <w:rFonts w:ascii="Times New Roman" w:eastAsia="Times New Roman" w:hAnsi="Times New Roman" w:cs="Times New Roman"/>
                <w:sz w:val="24"/>
                <w:szCs w:val="24"/>
                <w:lang w:eastAsia="cs-CZ"/>
              </w:rPr>
            </w:pPr>
            <w:r w:rsidRPr="00CF1CC7">
              <w:rPr>
                <w:rFonts w:ascii="Times New Roman" w:eastAsia="Times New Roman" w:hAnsi="Times New Roman" w:cs="Times New Roman"/>
                <w:sz w:val="24"/>
                <w:szCs w:val="24"/>
                <w:lang w:eastAsia="cs-CZ"/>
              </w:rPr>
              <w:t>MV - servis s.r.o.</w:t>
            </w:r>
          </w:p>
          <w:p w14:paraId="15ABB390" w14:textId="77777777" w:rsidR="00CF1CC7" w:rsidRPr="00CF1CC7" w:rsidRDefault="00CF1CC7" w:rsidP="00CF1CC7">
            <w:pPr>
              <w:spacing w:after="0" w:line="240" w:lineRule="auto"/>
              <w:jc w:val="both"/>
              <w:rPr>
                <w:rFonts w:ascii="Times New Roman" w:eastAsia="Times New Roman" w:hAnsi="Times New Roman" w:cs="Times New Roman"/>
                <w:sz w:val="24"/>
                <w:szCs w:val="24"/>
                <w:lang w:eastAsia="cs-CZ"/>
              </w:rPr>
            </w:pPr>
            <w:r w:rsidRPr="00CF1CC7">
              <w:rPr>
                <w:rFonts w:ascii="Times New Roman" w:eastAsia="Times New Roman" w:hAnsi="Times New Roman" w:cs="Times New Roman"/>
                <w:sz w:val="24"/>
                <w:szCs w:val="24"/>
                <w:lang w:eastAsia="cs-CZ"/>
              </w:rPr>
              <w:t>Lichnerova 23</w:t>
            </w:r>
          </w:p>
          <w:p w14:paraId="771459A6" w14:textId="77777777" w:rsidR="00CF1CC7" w:rsidRPr="00CF1CC7" w:rsidRDefault="00CF1CC7" w:rsidP="00CF1CC7">
            <w:pPr>
              <w:spacing w:after="0" w:line="240" w:lineRule="auto"/>
              <w:jc w:val="both"/>
              <w:rPr>
                <w:rFonts w:ascii="Times New Roman" w:eastAsia="Times New Roman" w:hAnsi="Times New Roman" w:cs="Times New Roman"/>
                <w:sz w:val="24"/>
                <w:szCs w:val="24"/>
                <w:lang w:eastAsia="cs-CZ"/>
              </w:rPr>
            </w:pPr>
            <w:r w:rsidRPr="00CF1CC7">
              <w:rPr>
                <w:rFonts w:ascii="Times New Roman" w:eastAsia="Times New Roman" w:hAnsi="Times New Roman" w:cs="Times New Roman"/>
                <w:sz w:val="24"/>
                <w:szCs w:val="24"/>
                <w:lang w:eastAsia="cs-CZ"/>
              </w:rPr>
              <w:t>903 01 Senec</w:t>
            </w:r>
          </w:p>
          <w:p w14:paraId="2895E6AD" w14:textId="1FDBEF47" w:rsidR="002A5F7D" w:rsidRPr="002A5F7D" w:rsidRDefault="00CF1CC7" w:rsidP="00CF1CC7">
            <w:pPr>
              <w:spacing w:after="0" w:line="240" w:lineRule="auto"/>
              <w:jc w:val="both"/>
              <w:rPr>
                <w:rFonts w:ascii="Times New Roman" w:eastAsia="Times New Roman" w:hAnsi="Times New Roman" w:cs="Times New Roman"/>
                <w:sz w:val="24"/>
                <w:szCs w:val="24"/>
                <w:lang w:eastAsia="cs-CZ"/>
              </w:rPr>
            </w:pPr>
            <w:r w:rsidRPr="00CF1CC7">
              <w:rPr>
                <w:rFonts w:ascii="Times New Roman" w:eastAsia="Times New Roman" w:hAnsi="Times New Roman" w:cs="Times New Roman"/>
                <w:sz w:val="24"/>
                <w:szCs w:val="24"/>
                <w:lang w:eastAsia="cs-CZ"/>
              </w:rPr>
              <w:t xml:space="preserve">Slovenská republika </w:t>
            </w:r>
          </w:p>
        </w:tc>
      </w:tr>
      <w:tr w:rsidR="002A5F7D" w:rsidRPr="002A5F7D" w14:paraId="39DBF0CF" w14:textId="77777777" w:rsidTr="002A5F7D">
        <w:tc>
          <w:tcPr>
            <w:tcW w:w="3580" w:type="dxa"/>
          </w:tcPr>
          <w:p w14:paraId="5C011708"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p>
        </w:tc>
        <w:tc>
          <w:tcPr>
            <w:tcW w:w="5952" w:type="dxa"/>
            <w:tcBorders>
              <w:left w:val="nil"/>
            </w:tcBorders>
          </w:tcPr>
          <w:p w14:paraId="30DD6E44"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Cs/>
                <w:color w:val="A6A6A6"/>
                <w:sz w:val="24"/>
                <w:szCs w:val="24"/>
                <w:lang w:eastAsia="cs-CZ"/>
              </w:rPr>
            </w:pPr>
          </w:p>
        </w:tc>
      </w:tr>
      <w:tr w:rsidR="002A5F7D" w:rsidRPr="002A5F7D" w14:paraId="19DD0BBD" w14:textId="77777777" w:rsidTr="002A5F7D">
        <w:tc>
          <w:tcPr>
            <w:tcW w:w="3580" w:type="dxa"/>
          </w:tcPr>
          <w:p w14:paraId="45B20154" w14:textId="16061723" w:rsidR="002A5F7D" w:rsidRPr="002A5F7D" w:rsidRDefault="002A5F7D" w:rsidP="00CF1CC7">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 xml:space="preserve">Číslo </w:t>
            </w:r>
            <w:r w:rsidR="00CF1CC7">
              <w:rPr>
                <w:rFonts w:ascii="Times New Roman" w:eastAsia="Times New Roman" w:hAnsi="Times New Roman" w:cs="Times New Roman"/>
                <w:b/>
                <w:bCs/>
                <w:sz w:val="24"/>
                <w:szCs w:val="24"/>
                <w:lang w:eastAsia="cs-CZ"/>
              </w:rPr>
              <w:t>povolenia</w:t>
            </w:r>
            <w:r w:rsidRPr="002A5F7D">
              <w:rPr>
                <w:rFonts w:ascii="Times New Roman" w:eastAsia="Times New Roman" w:hAnsi="Times New Roman" w:cs="Times New Roman"/>
                <w:b/>
                <w:bCs/>
                <w:sz w:val="24"/>
                <w:szCs w:val="24"/>
                <w:lang w:eastAsia="cs-CZ"/>
              </w:rPr>
              <w:t xml:space="preserve"> ÚKSÚP</w:t>
            </w:r>
            <w:r w:rsidRPr="002A5F7D">
              <w:rPr>
                <w:rFonts w:ascii="Times New Roman" w:eastAsia="Times New Roman" w:hAnsi="Times New Roman" w:cs="Times New Roman"/>
                <w:b/>
                <w:sz w:val="24"/>
                <w:szCs w:val="24"/>
                <w:lang w:eastAsia="cs-CZ"/>
              </w:rPr>
              <w:t>:</w:t>
            </w:r>
          </w:p>
        </w:tc>
        <w:tc>
          <w:tcPr>
            <w:tcW w:w="5952" w:type="dxa"/>
            <w:tcBorders>
              <w:left w:val="nil"/>
            </w:tcBorders>
          </w:tcPr>
          <w:p w14:paraId="58E9BBF8" w14:textId="78D0D045" w:rsidR="002A5F7D" w:rsidRPr="002A5F7D" w:rsidRDefault="002A5F7D" w:rsidP="00D648D8">
            <w:pPr>
              <w:tabs>
                <w:tab w:val="left" w:pos="1488"/>
              </w:tabs>
              <w:spacing w:after="0" w:line="240" w:lineRule="auto"/>
              <w:jc w:val="both"/>
              <w:rPr>
                <w:rFonts w:ascii="Times New Roman" w:eastAsia="Times New Roman" w:hAnsi="Times New Roman" w:cs="Times New Roman"/>
                <w:b/>
                <w:sz w:val="28"/>
                <w:szCs w:val="28"/>
                <w:lang w:eastAsia="cs-CZ"/>
              </w:rPr>
            </w:pPr>
            <w:r>
              <w:t xml:space="preserve"> </w:t>
            </w:r>
            <w:r w:rsidR="00CF1CC7">
              <w:rPr>
                <w:rFonts w:ascii="Times New Roman" w:eastAsia="Times New Roman" w:hAnsi="Times New Roman" w:cs="Times New Roman"/>
                <w:b/>
                <w:sz w:val="28"/>
                <w:szCs w:val="28"/>
                <w:lang w:eastAsia="cs-CZ"/>
              </w:rPr>
              <w:t>23</w:t>
            </w:r>
            <w:r w:rsidRPr="002A5F7D">
              <w:rPr>
                <w:rFonts w:ascii="Times New Roman" w:eastAsia="Times New Roman" w:hAnsi="Times New Roman" w:cs="Times New Roman"/>
                <w:b/>
                <w:sz w:val="28"/>
                <w:szCs w:val="28"/>
                <w:lang w:eastAsia="cs-CZ"/>
              </w:rPr>
              <w:t>-0</w:t>
            </w:r>
            <w:r w:rsidR="00CF1CC7">
              <w:rPr>
                <w:rFonts w:ascii="Times New Roman" w:eastAsia="Times New Roman" w:hAnsi="Times New Roman" w:cs="Times New Roman"/>
                <w:b/>
                <w:sz w:val="28"/>
                <w:szCs w:val="28"/>
                <w:lang w:eastAsia="cs-CZ"/>
              </w:rPr>
              <w:t>16</w:t>
            </w:r>
            <w:r w:rsidR="00D648D8">
              <w:rPr>
                <w:rFonts w:ascii="Times New Roman" w:eastAsia="Times New Roman" w:hAnsi="Times New Roman" w:cs="Times New Roman"/>
                <w:b/>
                <w:sz w:val="28"/>
                <w:szCs w:val="28"/>
                <w:lang w:eastAsia="cs-CZ"/>
              </w:rPr>
              <w:t>86</w:t>
            </w:r>
            <w:r w:rsidRPr="002A5F7D">
              <w:rPr>
                <w:rFonts w:ascii="Times New Roman" w:eastAsia="Times New Roman" w:hAnsi="Times New Roman" w:cs="Times New Roman"/>
                <w:b/>
                <w:sz w:val="28"/>
                <w:szCs w:val="28"/>
                <w:lang w:eastAsia="cs-CZ"/>
              </w:rPr>
              <w:t>-</w:t>
            </w:r>
            <w:r w:rsidR="00CF1CC7">
              <w:rPr>
                <w:rFonts w:ascii="Times New Roman" w:eastAsia="Times New Roman" w:hAnsi="Times New Roman" w:cs="Times New Roman"/>
                <w:b/>
                <w:sz w:val="28"/>
                <w:szCs w:val="28"/>
                <w:lang w:eastAsia="cs-CZ"/>
              </w:rPr>
              <w:t>PO</w:t>
            </w:r>
          </w:p>
        </w:tc>
      </w:tr>
      <w:tr w:rsidR="002A5F7D" w:rsidRPr="002A5F7D" w14:paraId="27F16563" w14:textId="77777777" w:rsidTr="002A5F7D">
        <w:tc>
          <w:tcPr>
            <w:tcW w:w="3580" w:type="dxa"/>
          </w:tcPr>
          <w:p w14:paraId="501801B0"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p>
        </w:tc>
        <w:tc>
          <w:tcPr>
            <w:tcW w:w="5952" w:type="dxa"/>
            <w:tcBorders>
              <w:left w:val="nil"/>
            </w:tcBorders>
          </w:tcPr>
          <w:p w14:paraId="4405A756" w14:textId="77777777" w:rsidR="002A5F7D" w:rsidRPr="002A5F7D" w:rsidRDefault="002A5F7D" w:rsidP="002A5F7D">
            <w:pPr>
              <w:tabs>
                <w:tab w:val="left" w:pos="1488"/>
              </w:tabs>
              <w:spacing w:after="0" w:line="240" w:lineRule="auto"/>
              <w:jc w:val="both"/>
              <w:rPr>
                <w:rFonts w:ascii="Times New Roman" w:eastAsia="Times New Roman" w:hAnsi="Times New Roman" w:cs="Times New Roman"/>
                <w:b/>
                <w:sz w:val="28"/>
                <w:szCs w:val="28"/>
                <w:lang w:eastAsia="cs-CZ"/>
              </w:rPr>
            </w:pPr>
          </w:p>
        </w:tc>
      </w:tr>
      <w:tr w:rsidR="002A5F7D" w:rsidRPr="002A5F7D" w14:paraId="05C864CA" w14:textId="77777777" w:rsidTr="002A5F7D">
        <w:tc>
          <w:tcPr>
            <w:tcW w:w="3580" w:type="dxa"/>
          </w:tcPr>
          <w:p w14:paraId="72CB43F4"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Dátum výroby</w:t>
            </w:r>
            <w:r w:rsidRPr="002A5F7D">
              <w:rPr>
                <w:rFonts w:ascii="Times New Roman" w:eastAsia="Times New Roman" w:hAnsi="Times New Roman" w:cs="Times New Roman"/>
                <w:b/>
                <w:sz w:val="24"/>
                <w:szCs w:val="24"/>
                <w:lang w:eastAsia="cs-CZ"/>
              </w:rPr>
              <w:t>:</w:t>
            </w:r>
          </w:p>
        </w:tc>
        <w:tc>
          <w:tcPr>
            <w:tcW w:w="5952" w:type="dxa"/>
            <w:tcBorders>
              <w:left w:val="nil"/>
            </w:tcBorders>
          </w:tcPr>
          <w:p w14:paraId="7AFAE24C"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uvedené na obale</w:t>
            </w:r>
          </w:p>
        </w:tc>
      </w:tr>
      <w:tr w:rsidR="002A5F7D" w:rsidRPr="002A5F7D" w14:paraId="2887F6D5" w14:textId="77777777" w:rsidTr="002A5F7D">
        <w:tc>
          <w:tcPr>
            <w:tcW w:w="3580" w:type="dxa"/>
          </w:tcPr>
          <w:p w14:paraId="73CF5180"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Číslo výrobnej šarže</w:t>
            </w:r>
            <w:r w:rsidRPr="002A5F7D">
              <w:rPr>
                <w:rFonts w:ascii="Times New Roman" w:eastAsia="Times New Roman" w:hAnsi="Times New Roman" w:cs="Times New Roman"/>
                <w:b/>
                <w:sz w:val="24"/>
                <w:szCs w:val="24"/>
                <w:lang w:eastAsia="cs-CZ"/>
              </w:rPr>
              <w:t>:</w:t>
            </w:r>
          </w:p>
        </w:tc>
        <w:tc>
          <w:tcPr>
            <w:tcW w:w="5952" w:type="dxa"/>
            <w:tcBorders>
              <w:left w:val="nil"/>
            </w:tcBorders>
          </w:tcPr>
          <w:p w14:paraId="73769D93"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uvedené na obale</w:t>
            </w:r>
          </w:p>
        </w:tc>
      </w:tr>
      <w:tr w:rsidR="002A5F7D" w:rsidRPr="002A5F7D" w14:paraId="614A4AC4" w14:textId="77777777" w:rsidTr="002A5F7D">
        <w:tc>
          <w:tcPr>
            <w:tcW w:w="3580" w:type="dxa"/>
            <w:shd w:val="clear" w:color="auto" w:fill="FFFFFF"/>
          </w:tcPr>
          <w:p w14:paraId="0315088C" w14:textId="77777777" w:rsidR="002A5F7D" w:rsidRPr="002A5F7D" w:rsidRDefault="002A5F7D" w:rsidP="002A5F7D">
            <w:pPr>
              <w:tabs>
                <w:tab w:val="left" w:pos="3969"/>
              </w:tabs>
              <w:spacing w:after="0" w:line="240" w:lineRule="auto"/>
              <w:rPr>
                <w:rFonts w:ascii="Times New Roman" w:eastAsia="Times New Roman" w:hAnsi="Times New Roman" w:cs="Times New Roman"/>
                <w:b/>
                <w:bCs/>
                <w:color w:val="A6A6A6"/>
                <w:sz w:val="24"/>
                <w:szCs w:val="24"/>
                <w:lang w:eastAsia="cs-CZ"/>
              </w:rPr>
            </w:pPr>
            <w:r w:rsidRPr="002A5F7D">
              <w:rPr>
                <w:rFonts w:ascii="Times New Roman" w:eastAsia="Times New Roman" w:hAnsi="Times New Roman" w:cs="Times New Roman"/>
                <w:b/>
                <w:bCs/>
                <w:sz w:val="24"/>
                <w:szCs w:val="24"/>
                <w:lang w:eastAsia="cs-CZ"/>
              </w:rPr>
              <w:t>Balenie:</w:t>
            </w:r>
          </w:p>
        </w:tc>
        <w:tc>
          <w:tcPr>
            <w:tcW w:w="5952" w:type="dxa"/>
            <w:tcBorders>
              <w:left w:val="nil"/>
            </w:tcBorders>
            <w:shd w:val="clear" w:color="auto" w:fill="FFFFFF"/>
          </w:tcPr>
          <w:p w14:paraId="58F59B0E" w14:textId="60D73028" w:rsidR="002A5F7D" w:rsidRPr="002A5F7D" w:rsidRDefault="002A5F7D" w:rsidP="00CF1CC7">
            <w:pPr>
              <w:tabs>
                <w:tab w:val="left" w:pos="3969"/>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200 ml HDPE fľaša (</w:t>
            </w:r>
            <w:r w:rsidR="00CF1CC7">
              <w:rPr>
                <w:rFonts w:ascii="Times New Roman" w:eastAsia="Times New Roman" w:hAnsi="Times New Roman" w:cs="Times New Roman"/>
                <w:sz w:val="24"/>
                <w:szCs w:val="24"/>
                <w:lang w:eastAsia="cs-CZ"/>
              </w:rPr>
              <w:t>45</w:t>
            </w:r>
            <w:r w:rsidRPr="002A5F7D">
              <w:rPr>
                <w:rFonts w:ascii="Times New Roman" w:eastAsia="Times New Roman" w:hAnsi="Times New Roman" w:cs="Times New Roman"/>
                <w:sz w:val="24"/>
                <w:szCs w:val="24"/>
                <w:lang w:eastAsia="cs-CZ"/>
              </w:rPr>
              <w:t xml:space="preserve"> g)</w:t>
            </w:r>
          </w:p>
        </w:tc>
      </w:tr>
      <w:tr w:rsidR="002A5F7D" w:rsidRPr="002A5F7D" w14:paraId="7616A1BC" w14:textId="77777777" w:rsidTr="002A5F7D">
        <w:tc>
          <w:tcPr>
            <w:tcW w:w="3580" w:type="dxa"/>
          </w:tcPr>
          <w:p w14:paraId="7A233A82" w14:textId="77777777" w:rsidR="002A5F7D" w:rsidRPr="002A5F7D" w:rsidRDefault="002A5F7D" w:rsidP="002A5F7D">
            <w:pPr>
              <w:tabs>
                <w:tab w:val="left" w:pos="3969"/>
              </w:tabs>
              <w:spacing w:after="0" w:line="240" w:lineRule="auto"/>
              <w:rPr>
                <w:rFonts w:ascii="Times New Roman" w:eastAsia="Times New Roman" w:hAnsi="Times New Roman" w:cs="Times New Roman"/>
                <w:bCs/>
                <w:color w:val="A6A6A6"/>
                <w:sz w:val="24"/>
                <w:szCs w:val="24"/>
                <w:lang w:eastAsia="cs-CZ"/>
              </w:rPr>
            </w:pPr>
          </w:p>
        </w:tc>
        <w:tc>
          <w:tcPr>
            <w:tcW w:w="5952" w:type="dxa"/>
            <w:tcBorders>
              <w:left w:val="nil"/>
            </w:tcBorders>
          </w:tcPr>
          <w:p w14:paraId="3488905A"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sz w:val="24"/>
                <w:szCs w:val="24"/>
                <w:lang w:eastAsia="cs-CZ"/>
              </w:rPr>
            </w:pPr>
          </w:p>
        </w:tc>
      </w:tr>
    </w:tbl>
    <w:p w14:paraId="3296370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PÔSOBENIE PRÍPRAVKU</w:t>
      </w:r>
    </w:p>
    <w:p w14:paraId="47CA5FB6" w14:textId="19A979ED" w:rsidR="002A5F7D" w:rsidRPr="002A5F7D" w:rsidRDefault="00CF1CC7" w:rsidP="002A5F7D">
      <w:pPr>
        <w:spacing w:after="0" w:line="240" w:lineRule="auto"/>
        <w:jc w:val="both"/>
        <w:rPr>
          <w:rFonts w:ascii="Times New Roman" w:eastAsia="Times New Roman" w:hAnsi="Times New Roman" w:cs="Times New Roman"/>
          <w:sz w:val="24"/>
          <w:szCs w:val="24"/>
          <w:lang w:eastAsia="cs-CZ"/>
        </w:rPr>
      </w:pPr>
      <w:r w:rsidRPr="00CF1CC7">
        <w:rPr>
          <w:rFonts w:ascii="Times New Roman" w:hAnsi="Times New Roman" w:cs="Times New Roman"/>
          <w:sz w:val="24"/>
          <w:szCs w:val="24"/>
        </w:rPr>
        <w:t>THIFEN</w:t>
      </w:r>
      <w:r w:rsidRPr="00CF1CC7">
        <w:rPr>
          <w:rFonts w:ascii="Times New Roman" w:eastAsia="Times New Roman" w:hAnsi="Times New Roman" w:cs="Times New Roman"/>
          <w:sz w:val="24"/>
          <w:szCs w:val="24"/>
          <w:lang w:eastAsia="cs-CZ"/>
        </w:rPr>
        <w:t xml:space="preserve"> </w:t>
      </w:r>
      <w:r w:rsidR="002A5F7D" w:rsidRPr="00CF1CC7">
        <w:rPr>
          <w:rFonts w:ascii="Times New Roman" w:eastAsia="Times New Roman" w:hAnsi="Times New Roman" w:cs="Times New Roman"/>
          <w:sz w:val="24"/>
          <w:szCs w:val="24"/>
          <w:lang w:eastAsia="cs-CZ"/>
        </w:rPr>
        <w:t>je</w:t>
      </w:r>
      <w:r w:rsidR="002A5F7D" w:rsidRPr="002A5F7D">
        <w:rPr>
          <w:rFonts w:ascii="Times New Roman" w:eastAsia="Times New Roman" w:hAnsi="Times New Roman" w:cs="Times New Roman"/>
          <w:sz w:val="24"/>
          <w:szCs w:val="24"/>
          <w:lang w:eastAsia="cs-CZ"/>
        </w:rPr>
        <w:t xml:space="preserve"> herbicíd so systémovým účinkom (ALS inhibítor) prijímaný predovšetkým listami rastlín. Príjem koreňmi je obmedzený na dobu 2-3 týždňov v dôsledku krátkeho reziduálneho pôsobenia v pôde. </w:t>
      </w:r>
      <w:r w:rsidRPr="00CF1CC7">
        <w:rPr>
          <w:rFonts w:ascii="Times New Roman" w:hAnsi="Times New Roman" w:cs="Times New Roman"/>
          <w:sz w:val="24"/>
          <w:szCs w:val="24"/>
        </w:rPr>
        <w:t>THIFEN</w:t>
      </w:r>
      <w:r w:rsidRPr="002A5F7D">
        <w:rPr>
          <w:rFonts w:ascii="Times New Roman" w:eastAsia="Times New Roman" w:hAnsi="Times New Roman" w:cs="Times New Roman"/>
          <w:sz w:val="24"/>
          <w:szCs w:val="24"/>
          <w:lang w:eastAsia="cs-CZ"/>
        </w:rPr>
        <w:t xml:space="preserve"> </w:t>
      </w:r>
      <w:r w:rsidR="002A5F7D" w:rsidRPr="002A5F7D">
        <w:rPr>
          <w:rFonts w:ascii="Times New Roman" w:eastAsia="Times New Roman" w:hAnsi="Times New Roman" w:cs="Times New Roman"/>
          <w:sz w:val="24"/>
          <w:szCs w:val="24"/>
          <w:lang w:eastAsia="cs-CZ"/>
        </w:rPr>
        <w:t>zastavuje veľmi rýchlo rast citlivých burín. Typické príznaky poškodenia sú viditeľné až za 3-10 dní po ošetrení v závislosti na podmienkach rastu a citlivosti burín. Teplo a dostatočná vlhkosť po aplikácii podporujú účinnosť prípravku, zatiaľ čo chlad a sucho oneskorujú účinok.</w:t>
      </w:r>
    </w:p>
    <w:p w14:paraId="39C6A43B" w14:textId="77777777" w:rsidR="002A5F7D" w:rsidRPr="002A5F7D" w:rsidRDefault="002A5F7D" w:rsidP="002A5F7D">
      <w:pPr>
        <w:tabs>
          <w:tab w:val="left" w:pos="1420"/>
        </w:tabs>
        <w:spacing w:after="0" w:line="240" w:lineRule="auto"/>
        <w:jc w:val="both"/>
        <w:rPr>
          <w:rFonts w:ascii="Times New Roman" w:eastAsia="Times New Roman" w:hAnsi="Times New Roman" w:cs="Times New Roman"/>
          <w:sz w:val="24"/>
          <w:szCs w:val="24"/>
          <w:lang w:eastAsia="cs-CZ"/>
        </w:rPr>
      </w:pPr>
    </w:p>
    <w:p w14:paraId="1497407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Spektrum herbicídnej účinnosti:</w:t>
      </w:r>
    </w:p>
    <w:p w14:paraId="0991686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Citlivé buriny:</w:t>
      </w:r>
      <w:r w:rsidRPr="002A5F7D">
        <w:rPr>
          <w:rFonts w:ascii="Times New Roman" w:eastAsia="Times New Roman" w:hAnsi="Times New Roman" w:cs="Times New Roman"/>
          <w:sz w:val="24"/>
          <w:szCs w:val="24"/>
          <w:lang w:eastAsia="cs-CZ"/>
        </w:rPr>
        <w:t xml:space="preserve"> loboda konáristá, láskavce (ohnutý, zelenoklasý), kapsička pastierska, reďkev ohnicová, mrlíky (biely, hybridný), konopnica, rumany, pohánkovec ovíjavý, horčiaky (obyčajný, štiavolistý), štiavce (kučeravý, okrúhlolistý), štiavy, rumančeky, parumanček nevoňavý, peniažtek roľný, horčica roľná, hviezdica.</w:t>
      </w:r>
    </w:p>
    <w:p w14:paraId="2A5E25D5"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78DE38FD"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NÁVOD NA POUŽITIE</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4"/>
        <w:gridCol w:w="2126"/>
        <w:gridCol w:w="2126"/>
        <w:gridCol w:w="1276"/>
        <w:gridCol w:w="2526"/>
      </w:tblGrid>
      <w:tr w:rsidR="002A5F7D" w:rsidRPr="002A5F7D" w14:paraId="561BDBCE" w14:textId="77777777" w:rsidTr="002A5F7D">
        <w:trPr>
          <w:tblHeader/>
        </w:trPr>
        <w:tc>
          <w:tcPr>
            <w:tcW w:w="1444" w:type="dxa"/>
            <w:shd w:val="clear" w:color="auto" w:fill="E0E0E0"/>
          </w:tcPr>
          <w:p w14:paraId="003D2F3C"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Plodina</w:t>
            </w:r>
          </w:p>
        </w:tc>
        <w:tc>
          <w:tcPr>
            <w:tcW w:w="2126" w:type="dxa"/>
            <w:shd w:val="clear" w:color="auto" w:fill="E0E0E0"/>
          </w:tcPr>
          <w:p w14:paraId="4649C4DF"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Účel použitia</w:t>
            </w:r>
          </w:p>
        </w:tc>
        <w:tc>
          <w:tcPr>
            <w:tcW w:w="2126" w:type="dxa"/>
            <w:shd w:val="clear" w:color="auto" w:fill="E0E0E0"/>
          </w:tcPr>
          <w:p w14:paraId="17128212" w14:textId="77777777" w:rsidR="002A5F7D" w:rsidRPr="002A5F7D" w:rsidRDefault="002A5F7D" w:rsidP="00B254F7">
            <w:pPr>
              <w:spacing w:after="0" w:line="240" w:lineRule="auto"/>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Dávka/ha</w:t>
            </w:r>
          </w:p>
        </w:tc>
        <w:tc>
          <w:tcPr>
            <w:tcW w:w="1276" w:type="dxa"/>
            <w:tcBorders>
              <w:right w:val="single" w:sz="4" w:space="0" w:color="auto"/>
            </w:tcBorders>
            <w:shd w:val="clear" w:color="auto" w:fill="E0E0E0"/>
          </w:tcPr>
          <w:p w14:paraId="3C14B359" w14:textId="77777777" w:rsidR="002A5F7D" w:rsidRPr="002A5F7D" w:rsidRDefault="002A5F7D" w:rsidP="002A5F7D">
            <w:pPr>
              <w:spacing w:after="0" w:line="240" w:lineRule="auto"/>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Ochranná doba</w:t>
            </w:r>
          </w:p>
        </w:tc>
        <w:tc>
          <w:tcPr>
            <w:tcW w:w="2526" w:type="dxa"/>
            <w:tcBorders>
              <w:left w:val="single" w:sz="4" w:space="0" w:color="auto"/>
            </w:tcBorders>
            <w:shd w:val="clear" w:color="auto" w:fill="E0E0E0"/>
          </w:tcPr>
          <w:p w14:paraId="013129C3"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Poznámka</w:t>
            </w:r>
          </w:p>
        </w:tc>
      </w:tr>
      <w:tr w:rsidR="002A5F7D" w:rsidRPr="002A5F7D" w14:paraId="3F2B163D" w14:textId="77777777" w:rsidTr="002A5F7D">
        <w:tc>
          <w:tcPr>
            <w:tcW w:w="1444" w:type="dxa"/>
            <w:vMerge w:val="restart"/>
          </w:tcPr>
          <w:p w14:paraId="05CC4FFF"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kukurica</w:t>
            </w:r>
          </w:p>
        </w:tc>
        <w:tc>
          <w:tcPr>
            <w:tcW w:w="2126" w:type="dxa"/>
            <w:vMerge w:val="restart"/>
          </w:tcPr>
          <w:p w14:paraId="0A25A6A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w:t>
            </w:r>
          </w:p>
        </w:tc>
        <w:tc>
          <w:tcPr>
            <w:tcW w:w="2126" w:type="dxa"/>
          </w:tcPr>
          <w:p w14:paraId="617642C8"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22,5 g"/>
              </w:smartTagPr>
              <w:r w:rsidRPr="002A5F7D">
                <w:rPr>
                  <w:rFonts w:ascii="Times New Roman" w:eastAsia="Times New Roman" w:hAnsi="Times New Roman" w:cs="Times New Roman"/>
                  <w:sz w:val="24"/>
                  <w:szCs w:val="24"/>
                  <w:lang w:eastAsia="cs-CZ"/>
                </w:rPr>
                <w:t>22,5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10ECD9C3"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696ABEEA"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0E46A83" w14:textId="77777777" w:rsidTr="002A5F7D">
        <w:trPr>
          <w:trHeight w:val="65"/>
        </w:trPr>
        <w:tc>
          <w:tcPr>
            <w:tcW w:w="1444" w:type="dxa"/>
            <w:vMerge/>
          </w:tcPr>
          <w:p w14:paraId="7300E5F8"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048343B3"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3AC8CD05"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22,5 g"/>
              </w:smartTagPr>
              <w:r w:rsidRPr="002A5F7D">
                <w:rPr>
                  <w:rFonts w:ascii="Times New Roman" w:eastAsia="Times New Roman" w:hAnsi="Times New Roman" w:cs="Times New Roman"/>
                  <w:sz w:val="24"/>
                  <w:szCs w:val="24"/>
                  <w:lang w:eastAsia="cs-CZ"/>
                </w:rPr>
                <w:t>22,5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46E0BFD"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4CCEB436"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4D63F865" w14:textId="77777777" w:rsidTr="00CF1CC7">
        <w:trPr>
          <w:trHeight w:val="695"/>
        </w:trPr>
        <w:tc>
          <w:tcPr>
            <w:tcW w:w="1444" w:type="dxa"/>
            <w:vMerge/>
          </w:tcPr>
          <w:p w14:paraId="45D6F6D6"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restart"/>
          </w:tcPr>
          <w:p w14:paraId="62C84203"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 trváce trávy</w:t>
            </w:r>
          </w:p>
        </w:tc>
        <w:tc>
          <w:tcPr>
            <w:tcW w:w="2126" w:type="dxa"/>
          </w:tcPr>
          <w:p w14:paraId="379957DD"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 (30-</w:t>
            </w:r>
            <w:smartTag w:uri="urn:schemas-microsoft-com:office:smarttags" w:element="metricconverter">
              <w:smartTagPr>
                <w:attr w:name="ProductID" w:val="60 g"/>
              </w:smartTagPr>
              <w:r w:rsidRPr="002A5F7D">
                <w:rPr>
                  <w:rFonts w:ascii="Times New Roman" w:eastAsia="Times New Roman" w:hAnsi="Times New Roman" w:cs="Times New Roman"/>
                  <w:sz w:val="24"/>
                  <w:szCs w:val="24"/>
                  <w:lang w:eastAsia="cs-CZ"/>
                </w:rPr>
                <w:t>60 g</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 +</w:t>
            </w:r>
          </w:p>
          <w:p w14:paraId="10CC8CE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(0,1 %)</w:t>
            </w:r>
            <w:r w:rsidRPr="002A5F7D">
              <w:rPr>
                <w:rFonts w:ascii="Times New Roman" w:eastAsia="Times New Roman" w:hAnsi="Times New Roman" w:cs="Times New Roman"/>
                <w:sz w:val="24"/>
                <w:szCs w:val="24"/>
                <w:vertAlign w:val="superscript"/>
                <w:lang w:eastAsia="cs-CZ"/>
              </w:rPr>
              <w:t>2</w:t>
            </w:r>
          </w:p>
        </w:tc>
        <w:tc>
          <w:tcPr>
            <w:tcW w:w="1276" w:type="dxa"/>
            <w:tcBorders>
              <w:right w:val="single" w:sz="4" w:space="0" w:color="auto"/>
            </w:tcBorders>
          </w:tcPr>
          <w:p w14:paraId="12466F09"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2EBF1A66" w14:textId="32FCAE4D"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Titus 25 WG,     </w:t>
            </w:r>
          </w:p>
          <w:p w14:paraId="74647831"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2</w:t>
            </w:r>
            <w:r w:rsidRPr="002A5F7D">
              <w:rPr>
                <w:rFonts w:ascii="Times New Roman" w:eastAsia="Times New Roman" w:hAnsi="Times New Roman" w:cs="Times New Roman"/>
                <w:sz w:val="24"/>
                <w:szCs w:val="24"/>
                <w:lang w:eastAsia="cs-CZ"/>
              </w:rPr>
              <w:t>Trend 90</w:t>
            </w:r>
          </w:p>
        </w:tc>
      </w:tr>
      <w:tr w:rsidR="002A5F7D" w:rsidRPr="002A5F7D" w14:paraId="7D494BFC" w14:textId="77777777" w:rsidTr="00CF1CC7">
        <w:trPr>
          <w:trHeight w:val="536"/>
        </w:trPr>
        <w:tc>
          <w:tcPr>
            <w:tcW w:w="1444" w:type="dxa"/>
            <w:vMerge/>
          </w:tcPr>
          <w:p w14:paraId="0F3D19A1"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360CEE4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291E343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 (30-</w:t>
            </w:r>
            <w:smartTag w:uri="urn:schemas-microsoft-com:office:smarttags" w:element="metricconverter">
              <w:smartTagPr>
                <w:attr w:name="ProductID" w:val="60 g"/>
              </w:smartTagPr>
              <w:r w:rsidRPr="002A5F7D">
                <w:rPr>
                  <w:rFonts w:ascii="Times New Roman" w:eastAsia="Times New Roman" w:hAnsi="Times New Roman" w:cs="Times New Roman"/>
                  <w:sz w:val="24"/>
                  <w:szCs w:val="24"/>
                  <w:lang w:eastAsia="cs-CZ"/>
                </w:rPr>
                <w:t>60 g</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 +</w:t>
            </w:r>
          </w:p>
          <w:p w14:paraId="06C6300C"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2</w:t>
            </w:r>
          </w:p>
        </w:tc>
        <w:tc>
          <w:tcPr>
            <w:tcW w:w="1276" w:type="dxa"/>
            <w:tcBorders>
              <w:right w:val="single" w:sz="4" w:space="0" w:color="auto"/>
            </w:tcBorders>
          </w:tcPr>
          <w:p w14:paraId="7C2DFED1"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05A3942F" w14:textId="76DCC605"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Titus 25 WG, </w:t>
            </w:r>
          </w:p>
          <w:p w14:paraId="6F78831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2</w:t>
            </w:r>
            <w:r w:rsidRPr="002A5F7D">
              <w:rPr>
                <w:rFonts w:ascii="Times New Roman" w:eastAsia="Times New Roman" w:hAnsi="Times New Roman" w:cs="Times New Roman"/>
                <w:sz w:val="24"/>
                <w:szCs w:val="24"/>
                <w:lang w:eastAsia="cs-CZ"/>
              </w:rPr>
              <w:t>Silwet L-77</w:t>
            </w:r>
          </w:p>
        </w:tc>
      </w:tr>
      <w:tr w:rsidR="002A5F7D" w:rsidRPr="002A5F7D" w14:paraId="58A3F4CD" w14:textId="77777777" w:rsidTr="002A5F7D">
        <w:tc>
          <w:tcPr>
            <w:tcW w:w="1444" w:type="dxa"/>
            <w:vMerge w:val="restart"/>
          </w:tcPr>
          <w:p w14:paraId="7FF50BE3"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sója</w:t>
            </w:r>
          </w:p>
        </w:tc>
        <w:tc>
          <w:tcPr>
            <w:tcW w:w="2126" w:type="dxa"/>
            <w:vMerge w:val="restart"/>
          </w:tcPr>
          <w:p w14:paraId="76D601B7"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w:t>
            </w:r>
          </w:p>
        </w:tc>
        <w:tc>
          <w:tcPr>
            <w:tcW w:w="2126" w:type="dxa"/>
          </w:tcPr>
          <w:p w14:paraId="0B0CCC3C"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2 g"/>
              </w:smartTagPr>
              <w:r w:rsidRPr="002A5F7D">
                <w:rPr>
                  <w:rFonts w:ascii="Times New Roman" w:eastAsia="Times New Roman" w:hAnsi="Times New Roman" w:cs="Times New Roman"/>
                  <w:sz w:val="24"/>
                  <w:szCs w:val="24"/>
                  <w:lang w:eastAsia="cs-CZ"/>
                </w:rPr>
                <w:t>12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0503CBEE"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7DB30A6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3D607FF" w14:textId="77777777" w:rsidTr="002A5F7D">
        <w:tc>
          <w:tcPr>
            <w:tcW w:w="1444" w:type="dxa"/>
            <w:vMerge/>
            <w:vAlign w:val="center"/>
          </w:tcPr>
          <w:p w14:paraId="24F34A65"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2479CA14"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6F4A1C62"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2 g"/>
              </w:smartTagPr>
              <w:r w:rsidRPr="002A5F7D">
                <w:rPr>
                  <w:rFonts w:ascii="Times New Roman" w:eastAsia="Times New Roman" w:hAnsi="Times New Roman" w:cs="Times New Roman"/>
                  <w:sz w:val="24"/>
                  <w:szCs w:val="24"/>
                  <w:lang w:eastAsia="cs-CZ"/>
                </w:rPr>
                <w:t>12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092FC182"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081F4CE8"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7A2207B3" w14:textId="77777777" w:rsidTr="002A5F7D">
        <w:trPr>
          <w:trHeight w:val="278"/>
        </w:trPr>
        <w:tc>
          <w:tcPr>
            <w:tcW w:w="1444" w:type="dxa"/>
            <w:vMerge w:val="restart"/>
            <w:vAlign w:val="center"/>
          </w:tcPr>
          <w:p w14:paraId="34FD7F74"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lucerna</w:t>
            </w:r>
          </w:p>
        </w:tc>
        <w:tc>
          <w:tcPr>
            <w:tcW w:w="2126" w:type="dxa"/>
            <w:vMerge w:val="restart"/>
            <w:vAlign w:val="center"/>
          </w:tcPr>
          <w:p w14:paraId="7C0F595B"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štiavy, štiavce</w:t>
            </w:r>
          </w:p>
        </w:tc>
        <w:tc>
          <w:tcPr>
            <w:tcW w:w="2126" w:type="dxa"/>
          </w:tcPr>
          <w:p w14:paraId="73E3FE8D"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0CA9693A" w14:textId="334894B8" w:rsidR="002A5F7D" w:rsidRPr="002A5F7D" w:rsidDel="005C0B5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90</w:t>
            </w:r>
            <w:r w:rsidR="00CF1CC7">
              <w:rPr>
                <w:rFonts w:ascii="Times New Roman" w:eastAsia="Times New Roman" w:hAnsi="Times New Roman" w:cs="Times New Roman"/>
                <w:sz w:val="24"/>
                <w:szCs w:val="24"/>
                <w:lang w:eastAsia="cs-CZ"/>
              </w:rPr>
              <w:t xml:space="preserve"> dní</w:t>
            </w:r>
          </w:p>
        </w:tc>
        <w:tc>
          <w:tcPr>
            <w:tcW w:w="2526" w:type="dxa"/>
            <w:tcBorders>
              <w:left w:val="single" w:sz="4" w:space="0" w:color="auto"/>
            </w:tcBorders>
          </w:tcPr>
          <w:p w14:paraId="5A368F3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1623D76B" w14:textId="77777777" w:rsidTr="002A5F7D">
        <w:trPr>
          <w:trHeight w:val="277"/>
        </w:trPr>
        <w:tc>
          <w:tcPr>
            <w:tcW w:w="1444" w:type="dxa"/>
            <w:vMerge/>
            <w:vAlign w:val="center"/>
          </w:tcPr>
          <w:p w14:paraId="068E577D"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1DBF1AD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4774BDE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64A66264" w14:textId="78F937B1" w:rsidR="002A5F7D" w:rsidRPr="002A5F7D" w:rsidDel="005C0B5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90</w:t>
            </w:r>
            <w:r w:rsidR="00CF1CC7">
              <w:rPr>
                <w:rFonts w:ascii="Times New Roman" w:eastAsia="Times New Roman" w:hAnsi="Times New Roman" w:cs="Times New Roman"/>
                <w:sz w:val="24"/>
                <w:szCs w:val="24"/>
                <w:lang w:eastAsia="cs-CZ"/>
              </w:rPr>
              <w:t xml:space="preserve"> dní</w:t>
            </w:r>
          </w:p>
        </w:tc>
        <w:tc>
          <w:tcPr>
            <w:tcW w:w="2526" w:type="dxa"/>
            <w:tcBorders>
              <w:left w:val="single" w:sz="4" w:space="0" w:color="auto"/>
            </w:tcBorders>
          </w:tcPr>
          <w:p w14:paraId="5E1992DC"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17101F6D" w14:textId="77777777" w:rsidTr="002A5F7D">
        <w:tc>
          <w:tcPr>
            <w:tcW w:w="1444" w:type="dxa"/>
            <w:vMerge w:val="restart"/>
          </w:tcPr>
          <w:p w14:paraId="780BE102"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lúky a pasienky</w:t>
            </w:r>
          </w:p>
        </w:tc>
        <w:tc>
          <w:tcPr>
            <w:tcW w:w="2126" w:type="dxa"/>
            <w:vMerge w:val="restart"/>
          </w:tcPr>
          <w:p w14:paraId="7AC41251"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štiavy, štiavce</w:t>
            </w:r>
          </w:p>
        </w:tc>
        <w:tc>
          <w:tcPr>
            <w:tcW w:w="2126" w:type="dxa"/>
          </w:tcPr>
          <w:p w14:paraId="4EFFB2B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2784271" w14:textId="461251A6"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14</w:t>
            </w:r>
            <w:r w:rsidR="00CF1CC7">
              <w:rPr>
                <w:rFonts w:ascii="Times New Roman" w:eastAsia="Times New Roman" w:hAnsi="Times New Roman" w:cs="Times New Roman"/>
                <w:sz w:val="24"/>
                <w:szCs w:val="24"/>
                <w:lang w:eastAsia="cs-CZ"/>
              </w:rPr>
              <w:t xml:space="preserve"> dní</w:t>
            </w:r>
          </w:p>
        </w:tc>
        <w:tc>
          <w:tcPr>
            <w:tcW w:w="2526" w:type="dxa"/>
            <w:tcBorders>
              <w:left w:val="single" w:sz="4" w:space="0" w:color="auto"/>
            </w:tcBorders>
          </w:tcPr>
          <w:p w14:paraId="1A99BDB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677EA6A" w14:textId="77777777" w:rsidTr="002A5F7D">
        <w:tc>
          <w:tcPr>
            <w:tcW w:w="1444" w:type="dxa"/>
            <w:vMerge/>
            <w:vAlign w:val="center"/>
          </w:tcPr>
          <w:p w14:paraId="60925B6F"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vMerge/>
            <w:vAlign w:val="center"/>
          </w:tcPr>
          <w:p w14:paraId="69CA8C0F"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1A6C1A61"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03CC98A" w14:textId="1BDBD436"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14</w:t>
            </w:r>
            <w:r w:rsidR="00CF1CC7">
              <w:rPr>
                <w:rFonts w:ascii="Times New Roman" w:eastAsia="Times New Roman" w:hAnsi="Times New Roman" w:cs="Times New Roman"/>
                <w:sz w:val="24"/>
                <w:szCs w:val="24"/>
                <w:lang w:eastAsia="cs-CZ"/>
              </w:rPr>
              <w:t xml:space="preserve"> dní</w:t>
            </w:r>
          </w:p>
        </w:tc>
        <w:tc>
          <w:tcPr>
            <w:tcW w:w="2526" w:type="dxa"/>
            <w:tcBorders>
              <w:left w:val="single" w:sz="4" w:space="0" w:color="auto"/>
            </w:tcBorders>
          </w:tcPr>
          <w:p w14:paraId="770C85DA"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bl>
    <w:p w14:paraId="3168C5D7"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1B7AA11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POKYNY PRE APLIKÁCIU</w:t>
      </w:r>
    </w:p>
    <w:p w14:paraId="4A8212D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u w:val="single"/>
          <w:lang w:eastAsia="cs-CZ"/>
        </w:rPr>
        <w:t>Kukurica:</w:t>
      </w:r>
    </w:p>
    <w:p w14:paraId="7B18CF9D" w14:textId="2FC2C840"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Obsah jedného balenia (t.j. </w:t>
      </w:r>
      <w:r w:rsidR="00CF1CC7">
        <w:rPr>
          <w:rFonts w:ascii="Times New Roman" w:eastAsia="Times New Roman" w:hAnsi="Times New Roman" w:cs="Times New Roman"/>
          <w:sz w:val="24"/>
          <w:szCs w:val="24"/>
          <w:lang w:eastAsia="cs-CZ"/>
        </w:rPr>
        <w:t>45</w:t>
      </w:r>
      <w:r w:rsidRPr="002A5F7D">
        <w:rPr>
          <w:rFonts w:ascii="Times New Roman" w:eastAsia="Times New Roman" w:hAnsi="Times New Roman" w:cs="Times New Roman"/>
          <w:sz w:val="24"/>
          <w:szCs w:val="24"/>
          <w:lang w:eastAsia="cs-CZ"/>
        </w:rPr>
        <w:t xml:space="preserve"> g thifensulfuron methylu 50 % SG) je určený na ošetrenie </w:t>
      </w:r>
      <w:r w:rsidR="00CF1CC7">
        <w:rPr>
          <w:rFonts w:ascii="Times New Roman" w:eastAsia="Times New Roman" w:hAnsi="Times New Roman" w:cs="Times New Roman"/>
          <w:sz w:val="24"/>
          <w:szCs w:val="24"/>
          <w:lang w:eastAsia="cs-CZ"/>
        </w:rPr>
        <w:t>2</w:t>
      </w:r>
      <w:r w:rsidRPr="002A5F7D">
        <w:rPr>
          <w:rFonts w:ascii="Times New Roman" w:eastAsia="Times New Roman" w:hAnsi="Times New Roman" w:cs="Times New Roman"/>
          <w:sz w:val="24"/>
          <w:szCs w:val="24"/>
          <w:lang w:eastAsia="cs-CZ"/>
        </w:rPr>
        <w:t xml:space="preserve"> ha (t.j. ekvivalent 22</w:t>
      </w:r>
      <w:r w:rsidR="00D648D8">
        <w:rPr>
          <w:rFonts w:ascii="Times New Roman" w:eastAsia="Times New Roman" w:hAnsi="Times New Roman" w:cs="Times New Roman"/>
          <w:sz w:val="24"/>
          <w:szCs w:val="24"/>
          <w:lang w:eastAsia="cs-CZ"/>
        </w:rPr>
        <w:t>,</w:t>
      </w:r>
      <w:bookmarkStart w:id="0" w:name="_GoBack"/>
      <w:bookmarkEnd w:id="0"/>
      <w:r w:rsidRPr="002A5F7D">
        <w:rPr>
          <w:rFonts w:ascii="Times New Roman" w:eastAsia="Times New Roman" w:hAnsi="Times New Roman" w:cs="Times New Roman"/>
          <w:sz w:val="24"/>
          <w:szCs w:val="24"/>
          <w:lang w:eastAsia="cs-CZ"/>
        </w:rPr>
        <w:t xml:space="preserve">5 g </w:t>
      </w:r>
      <w:r w:rsidR="00F45D30" w:rsidRPr="00CF1CC7">
        <w:rPr>
          <w:rFonts w:ascii="Times New Roman" w:hAnsi="Times New Roman" w:cs="Times New Roman"/>
          <w:sz w:val="24"/>
          <w:szCs w:val="24"/>
        </w:rPr>
        <w:t>THIFEN</w:t>
      </w:r>
      <w:r w:rsidR="00F45D30">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lang w:eastAsia="cs-CZ"/>
        </w:rPr>
        <w:t xml:space="preserve">ha) alebo na </w:t>
      </w:r>
      <w:r w:rsidR="00CF1CC7">
        <w:rPr>
          <w:rFonts w:ascii="Times New Roman" w:eastAsia="Times New Roman" w:hAnsi="Times New Roman" w:cs="Times New Roman"/>
          <w:sz w:val="24"/>
          <w:szCs w:val="24"/>
          <w:lang w:eastAsia="cs-CZ"/>
        </w:rPr>
        <w:t>3</w:t>
      </w:r>
      <w:r w:rsidRPr="002A5F7D">
        <w:rPr>
          <w:rFonts w:ascii="Times New Roman" w:eastAsia="Times New Roman" w:hAnsi="Times New Roman" w:cs="Times New Roman"/>
          <w:sz w:val="24"/>
          <w:szCs w:val="24"/>
          <w:lang w:eastAsia="cs-CZ"/>
        </w:rPr>
        <w:t xml:space="preserve"> ha kukurice (t.j. ekvivalent </w:t>
      </w: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w:t>
      </w:r>
      <w:r w:rsidR="00F45D30" w:rsidRPr="00CF1CC7">
        <w:rPr>
          <w:rFonts w:ascii="Times New Roman" w:hAnsi="Times New Roman" w:cs="Times New Roman"/>
          <w:sz w:val="24"/>
          <w:szCs w:val="24"/>
        </w:rPr>
        <w:t>THIFEN</w:t>
      </w:r>
      <w:r w:rsidR="00F45D30">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lang w:eastAsia="cs-CZ"/>
        </w:rPr>
        <w:t>ha).</w:t>
      </w:r>
    </w:p>
    <w:p w14:paraId="01E1A543" w14:textId="77777777" w:rsidR="002A5F7D" w:rsidRPr="002A5F7D" w:rsidRDefault="002A5F7D" w:rsidP="002A5F7D">
      <w:pPr>
        <w:spacing w:after="0" w:line="240" w:lineRule="auto"/>
        <w:jc w:val="both"/>
        <w:rPr>
          <w:rFonts w:ascii="Times New Roman" w:eastAsia="Times New Roman" w:hAnsi="Times New Roman" w:cs="Times New Roman"/>
          <w:b/>
          <w:sz w:val="24"/>
          <w:szCs w:val="24"/>
          <w:u w:val="single"/>
          <w:lang w:eastAsia="cs-CZ"/>
        </w:rPr>
      </w:pPr>
      <w:r w:rsidRPr="002A5F7D">
        <w:rPr>
          <w:rFonts w:ascii="Times New Roman" w:eastAsia="Times New Roman" w:hAnsi="Times New Roman" w:cs="Times New Roman"/>
          <w:b/>
          <w:sz w:val="24"/>
          <w:szCs w:val="24"/>
          <w:u w:val="single"/>
          <w:lang w:eastAsia="cs-CZ"/>
        </w:rPr>
        <w:t>Lucerna:</w:t>
      </w:r>
    </w:p>
    <w:p w14:paraId="488DAC1E" w14:textId="231A1DE8"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Obsah jedného balenia (t.j. </w:t>
      </w:r>
      <w:r w:rsidR="00F45D30">
        <w:rPr>
          <w:rFonts w:ascii="Times New Roman" w:eastAsia="Times New Roman" w:hAnsi="Times New Roman" w:cs="Times New Roman"/>
          <w:sz w:val="24"/>
          <w:szCs w:val="24"/>
          <w:lang w:eastAsia="cs-CZ"/>
        </w:rPr>
        <w:t>45</w:t>
      </w:r>
      <w:r w:rsidRPr="002A5F7D">
        <w:rPr>
          <w:rFonts w:ascii="Times New Roman" w:eastAsia="Times New Roman" w:hAnsi="Times New Roman" w:cs="Times New Roman"/>
          <w:sz w:val="24"/>
          <w:szCs w:val="24"/>
          <w:lang w:eastAsia="cs-CZ"/>
        </w:rPr>
        <w:t xml:space="preserve"> g thifensulfuron methylu 50 % SG) je určený na ošetrenie </w:t>
      </w:r>
      <w:r w:rsidR="00F45D30">
        <w:rPr>
          <w:rFonts w:ascii="Times New Roman" w:eastAsia="Times New Roman" w:hAnsi="Times New Roman" w:cs="Times New Roman"/>
          <w:sz w:val="24"/>
          <w:szCs w:val="24"/>
          <w:lang w:eastAsia="cs-CZ"/>
        </w:rPr>
        <w:t>2</w:t>
      </w:r>
      <w:r w:rsidRPr="002A5F7D">
        <w:rPr>
          <w:rFonts w:ascii="Times New Roman" w:eastAsia="Times New Roman" w:hAnsi="Times New Roman" w:cs="Times New Roman"/>
          <w:sz w:val="24"/>
          <w:szCs w:val="24"/>
          <w:lang w:eastAsia="cs-CZ"/>
        </w:rPr>
        <w:t>-</w:t>
      </w:r>
      <w:r w:rsidR="00F45D30">
        <w:rPr>
          <w:rFonts w:ascii="Times New Roman" w:eastAsia="Times New Roman" w:hAnsi="Times New Roman" w:cs="Times New Roman"/>
          <w:sz w:val="24"/>
          <w:szCs w:val="24"/>
          <w:lang w:eastAsia="cs-CZ"/>
        </w:rPr>
        <w:t>3</w:t>
      </w:r>
      <w:r w:rsidRPr="002A5F7D">
        <w:rPr>
          <w:rFonts w:ascii="Times New Roman" w:eastAsia="Times New Roman" w:hAnsi="Times New Roman" w:cs="Times New Roman"/>
          <w:sz w:val="24"/>
          <w:szCs w:val="24"/>
          <w:lang w:eastAsia="cs-CZ"/>
        </w:rPr>
        <w:t xml:space="preserve"> ha lucerny (t.j. ekvivalent 10-</w:t>
      </w: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w:t>
      </w:r>
      <w:r w:rsidR="00F45D30" w:rsidRPr="00CF1CC7">
        <w:rPr>
          <w:rFonts w:ascii="Times New Roman" w:hAnsi="Times New Roman" w:cs="Times New Roman"/>
          <w:sz w:val="24"/>
          <w:szCs w:val="24"/>
        </w:rPr>
        <w:t>THIFEN</w:t>
      </w:r>
      <w:r w:rsidR="00F45D30">
        <w:rPr>
          <w:rFonts w:ascii="Times New Roman" w:hAnsi="Times New Roman" w:cs="Times New Roman"/>
          <w:sz w:val="24"/>
          <w:szCs w:val="24"/>
        </w:rPr>
        <w:t>/</w:t>
      </w:r>
      <w:r w:rsidRPr="002A5F7D">
        <w:rPr>
          <w:rFonts w:ascii="Times New Roman" w:eastAsia="Times New Roman" w:hAnsi="Times New Roman" w:cs="Times New Roman"/>
          <w:sz w:val="24"/>
          <w:szCs w:val="24"/>
          <w:lang w:eastAsia="cs-CZ"/>
        </w:rPr>
        <w:t>ha).</w:t>
      </w:r>
    </w:p>
    <w:p w14:paraId="7E10DE41"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u w:val="single"/>
          <w:lang w:eastAsia="cs-CZ"/>
        </w:rPr>
        <w:t>Lúky a pasienky:</w:t>
      </w:r>
    </w:p>
    <w:p w14:paraId="682B4EE9" w14:textId="5DC5B075"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Jedno balenie </w:t>
      </w:r>
      <w:r w:rsidR="00F45D30" w:rsidRPr="00CF1CC7">
        <w:rPr>
          <w:rFonts w:ascii="Times New Roman" w:hAnsi="Times New Roman" w:cs="Times New Roman"/>
          <w:sz w:val="24"/>
          <w:szCs w:val="24"/>
        </w:rPr>
        <w:t>THIFEN</w:t>
      </w:r>
      <w:r w:rsidRPr="002A5F7D">
        <w:rPr>
          <w:rFonts w:ascii="Times New Roman" w:eastAsia="Times New Roman" w:hAnsi="Times New Roman" w:cs="Times New Roman"/>
          <w:sz w:val="24"/>
          <w:szCs w:val="24"/>
          <w:lang w:eastAsia="cs-CZ"/>
        </w:rPr>
        <w:t xml:space="preserve"> (t.j. </w:t>
      </w:r>
      <w:r w:rsidR="00F45D30">
        <w:rPr>
          <w:rFonts w:ascii="Times New Roman" w:eastAsia="Times New Roman" w:hAnsi="Times New Roman" w:cs="Times New Roman"/>
          <w:sz w:val="24"/>
          <w:szCs w:val="24"/>
          <w:lang w:eastAsia="cs-CZ"/>
        </w:rPr>
        <w:t>45</w:t>
      </w:r>
      <w:r w:rsidRPr="002A5F7D">
        <w:rPr>
          <w:rFonts w:ascii="Times New Roman" w:eastAsia="Times New Roman" w:hAnsi="Times New Roman" w:cs="Times New Roman"/>
          <w:sz w:val="24"/>
          <w:szCs w:val="24"/>
          <w:lang w:eastAsia="cs-CZ"/>
        </w:rPr>
        <w:t xml:space="preserve"> g thifensulfuron methylu 50 </w:t>
      </w:r>
      <w:r w:rsidR="00F45D30">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S</w:t>
      </w:r>
      <w:r w:rsidR="00F45D30">
        <w:rPr>
          <w:rFonts w:ascii="Times New Roman" w:eastAsia="Times New Roman" w:hAnsi="Times New Roman" w:cs="Times New Roman"/>
          <w:sz w:val="24"/>
          <w:szCs w:val="24"/>
          <w:lang w:eastAsia="cs-CZ"/>
        </w:rPr>
        <w:t>G</w:t>
      </w:r>
      <w:r w:rsidRPr="002A5F7D">
        <w:rPr>
          <w:rFonts w:ascii="Times New Roman" w:eastAsia="Times New Roman" w:hAnsi="Times New Roman" w:cs="Times New Roman"/>
          <w:sz w:val="24"/>
          <w:szCs w:val="24"/>
          <w:lang w:eastAsia="cs-CZ"/>
        </w:rPr>
        <w:t xml:space="preserve">) použite na ošetrenie </w:t>
      </w:r>
      <w:r w:rsidR="00F45D30">
        <w:rPr>
          <w:rFonts w:ascii="Times New Roman" w:eastAsia="Times New Roman" w:hAnsi="Times New Roman" w:cs="Times New Roman"/>
          <w:sz w:val="24"/>
          <w:szCs w:val="24"/>
          <w:lang w:eastAsia="cs-CZ"/>
        </w:rPr>
        <w:t>1,5</w:t>
      </w:r>
      <w:r w:rsidRPr="002A5F7D">
        <w:rPr>
          <w:rFonts w:ascii="Times New Roman" w:eastAsia="Times New Roman" w:hAnsi="Times New Roman" w:cs="Times New Roman"/>
          <w:sz w:val="24"/>
          <w:szCs w:val="24"/>
          <w:lang w:eastAsia="cs-CZ"/>
        </w:rPr>
        <w:t>-</w:t>
      </w:r>
      <w:r w:rsidR="00F45D30">
        <w:rPr>
          <w:rFonts w:ascii="Times New Roman" w:eastAsia="Times New Roman" w:hAnsi="Times New Roman" w:cs="Times New Roman"/>
          <w:sz w:val="24"/>
          <w:szCs w:val="24"/>
          <w:lang w:eastAsia="cs-CZ"/>
        </w:rPr>
        <w:t>3</w:t>
      </w:r>
      <w:r w:rsidRPr="002A5F7D">
        <w:rPr>
          <w:rFonts w:ascii="Times New Roman" w:eastAsia="Times New Roman" w:hAnsi="Times New Roman" w:cs="Times New Roman"/>
          <w:sz w:val="24"/>
          <w:szCs w:val="24"/>
          <w:lang w:eastAsia="cs-CZ"/>
        </w:rPr>
        <w:t xml:space="preserve"> ha na vyrastené štiavy a štiavce od vytvorenie ružice do výšky lodyhy 20-</w:t>
      </w:r>
      <w:smartTag w:uri="urn:schemas-microsoft-com:office:smarttags" w:element="metricconverter">
        <w:smartTagPr>
          <w:attr w:name="ProductID" w:val="30 cm"/>
        </w:smartTagPr>
        <w:r w:rsidRPr="002A5F7D">
          <w:rPr>
            <w:rFonts w:ascii="Times New Roman" w:eastAsia="Times New Roman" w:hAnsi="Times New Roman" w:cs="Times New Roman"/>
            <w:sz w:val="24"/>
            <w:szCs w:val="24"/>
            <w:lang w:eastAsia="cs-CZ"/>
          </w:rPr>
          <w:t>30 cm</w:t>
        </w:r>
      </w:smartTag>
      <w:r w:rsidRPr="002A5F7D">
        <w:rPr>
          <w:rFonts w:ascii="Times New Roman" w:eastAsia="Times New Roman" w:hAnsi="Times New Roman" w:cs="Times New Roman"/>
          <w:sz w:val="24"/>
          <w:szCs w:val="24"/>
          <w:lang w:eastAsia="cs-CZ"/>
        </w:rPr>
        <w:t xml:space="preserve"> vždy pred kvetom! Vyššiu dávku použite pri väčšom výskyte burín. Lepší účinok dosiahnete pri jesennej aplikácii.</w:t>
      </w:r>
    </w:p>
    <w:p w14:paraId="607F1EAE"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07C8D17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Upozornenie:</w:t>
      </w:r>
    </w:p>
    <w:p w14:paraId="3E190E1C" w14:textId="3DB5FCDA"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Neodporúčame miešať </w:t>
      </w:r>
      <w:r w:rsidR="00F45D30" w:rsidRPr="00CF1CC7">
        <w:rPr>
          <w:rFonts w:ascii="Times New Roman" w:hAnsi="Times New Roman" w:cs="Times New Roman"/>
          <w:sz w:val="24"/>
          <w:szCs w:val="24"/>
        </w:rPr>
        <w:t>THIFEN</w:t>
      </w:r>
      <w:r w:rsidR="00F45D30" w:rsidRPr="002A5F7D">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s prípravkami na báze MCPA!</w:t>
      </w:r>
    </w:p>
    <w:p w14:paraId="623F2B60"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Aplikujte iba na suché buriny t.j. nie bezprostredne po daždi alebo za rosy. Dážď 2-3 hodiny po aplikácii môže znížiť účinok (príjem listami).</w:t>
      </w:r>
    </w:p>
    <w:p w14:paraId="2C6FEE99" w14:textId="08B54809"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Ďatelina biela je po aplikácii </w:t>
      </w:r>
      <w:r w:rsidR="00F45D30" w:rsidRPr="00CF1CC7">
        <w:rPr>
          <w:rFonts w:ascii="Times New Roman" w:hAnsi="Times New Roman" w:cs="Times New Roman"/>
          <w:sz w:val="24"/>
          <w:szCs w:val="24"/>
        </w:rPr>
        <w:t>THIFEN</w:t>
      </w:r>
      <w:r w:rsidR="00F45D30" w:rsidRPr="002A5F7D">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dočasne potlačená v raste, počas</w:t>
      </w:r>
      <w:r w:rsidRPr="002A5F7D" w:rsidDel="00011BFE">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vegetácie</w:t>
      </w:r>
      <w:r w:rsidRPr="002A5F7D" w:rsidDel="00011BFE">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však regeneruje.</w:t>
      </w:r>
    </w:p>
    <w:p w14:paraId="5D212C90"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5CB76701" w14:textId="77777777" w:rsidR="002A5F7D" w:rsidRPr="002A5F7D" w:rsidRDefault="002A5F7D" w:rsidP="002A5F7D">
      <w:pPr>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INFORMÁCIE O MOŽNEJ FYTOTOXICITE, ODRODOVEJ CITLIVOSTI A VŠETKÝCH ĎALŠÍCH PRIAMYCH A NEPRIAMYCH NEPRIAZNIVÝCH ÚČINKOCH NA RASTLINY ALEBO RASTLINNÉ PRODUKTY</w:t>
      </w:r>
    </w:p>
    <w:p w14:paraId="02F7714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s návodom na použitie nemá nežiaduce škodlivé účinky na iné rastliny.</w:t>
      </w:r>
    </w:p>
    <w:p w14:paraId="69C15116"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38509DD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lang w:eastAsia="cs-CZ"/>
        </w:rPr>
        <w:t>OPATRENIA PROTI VZNIKU REZISTENCIE</w:t>
      </w:r>
    </w:p>
    <w:p w14:paraId="07C46B0C"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Viacročné používanie herbicídov s rovnakým spôsobom účinku na rovnakom pozemku môže viesť k vzniku rezistentných biotypov burín, ktorých výskyt sa potom môže stať dominantným. Pôvodne citlivý druh buriny sa považuje za rezistentný, ak ho použitý herbicíd neničí pri aplikácii v odporúčanej, alebo vyššej dávke. Vývoju rezistentných biotypov sa dá predísť dodržiavaním zásad správnej praxe ochrany rastlín (aplikácia za priaznivých podmienok, vyhýbanie sa monokultúrnemu pestovaniu plodín), spájaním mechanickej kontroly burín s chemickou (používanie prípravkov s rôznym spôsobom účinku) alebo ho oddialiť striedaním prípravkov alebo používaním tank-mix zmesí prípravkov s odlišným spôsobom účinku.</w:t>
      </w:r>
    </w:p>
    <w:p w14:paraId="154B5D5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07488C01" w14:textId="77777777" w:rsidR="002A5F7D" w:rsidRPr="002A5F7D" w:rsidRDefault="002A5F7D" w:rsidP="002A5F7D">
      <w:pPr>
        <w:spacing w:after="120" w:line="240" w:lineRule="auto"/>
        <w:jc w:val="both"/>
        <w:rPr>
          <w:rFonts w:ascii="Times New Roman" w:eastAsia="Times New Roman" w:hAnsi="Times New Roman" w:cs="Times New Roman"/>
          <w:sz w:val="24"/>
          <w:szCs w:val="16"/>
          <w:lang w:eastAsia="cs-CZ"/>
        </w:rPr>
      </w:pPr>
      <w:r w:rsidRPr="002A5F7D">
        <w:rPr>
          <w:rFonts w:ascii="Times New Roman" w:eastAsia="Times New Roman" w:hAnsi="Times New Roman" w:cs="Times New Roman"/>
          <w:sz w:val="24"/>
          <w:szCs w:val="16"/>
          <w:lang w:eastAsia="cs-CZ"/>
        </w:rPr>
        <w:t>Agrotechnické praktiky (orba, neskoré termíny sejby) v kombinácii s herbicídmi sú ďalšie efektívne nástroje pre zabránenie vzniku rezistencie. Pre zabránenie vzniku rezistencie neaplikujte tento alebo iný prípravok s obsahom účinnej látky na báze ALS inhibítorov (HRAC skupina B, sulfonylmočoviny, triazolopyrimidiny, triazoliny) na rovnakom poli po sebe bez prerušenia ošetrením iným herbicídom s odlišným mechanizmom účinku.</w:t>
      </w:r>
    </w:p>
    <w:p w14:paraId="052FBB1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132901BA"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VPLYV NA ÚRODU</w:t>
      </w:r>
    </w:p>
    <w:p w14:paraId="27340208"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Pri použití v súlade s návodom na použitie nemá negatívny vplyv na úrodu.</w:t>
      </w:r>
    </w:p>
    <w:p w14:paraId="113EAEFF"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572132B2" w14:textId="77777777" w:rsidR="00D648D8" w:rsidRDefault="00D648D8" w:rsidP="002A5F7D">
      <w:pPr>
        <w:spacing w:after="0" w:line="240" w:lineRule="auto"/>
        <w:jc w:val="both"/>
        <w:rPr>
          <w:rFonts w:ascii="Times New Roman" w:eastAsia="Times New Roman" w:hAnsi="Times New Roman" w:cs="Times New Roman"/>
          <w:b/>
          <w:sz w:val="24"/>
          <w:szCs w:val="24"/>
          <w:lang w:eastAsia="cs-CZ"/>
        </w:rPr>
      </w:pPr>
    </w:p>
    <w:p w14:paraId="2CCC280E" w14:textId="539A0791"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VPLYV NA NÁSLEDNÉ, NÁHRADNÉ A SUSEDIACE PLODINY</w:t>
      </w:r>
    </w:p>
    <w:p w14:paraId="2F297C80" w14:textId="6807277A"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Vzhľadom na krátke reziduálne pôsobenie v pôde je možné pestovať v tom istom roku po aplikácii herbicídu </w:t>
      </w:r>
      <w:r w:rsidR="00F45D30" w:rsidRPr="00CF1CC7">
        <w:rPr>
          <w:rFonts w:ascii="Times New Roman" w:hAnsi="Times New Roman" w:cs="Times New Roman"/>
          <w:sz w:val="24"/>
          <w:szCs w:val="24"/>
        </w:rPr>
        <w:t>THIFEN</w:t>
      </w:r>
      <w:r w:rsidR="00F45D30" w:rsidRPr="002A5F7D">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akúkoľvek plodinu bez obmedzenia.</w:t>
      </w:r>
    </w:p>
    <w:p w14:paraId="659A050D"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Dbajte na to, aby prípravok nebol pri postreku zanášaný na susediace plodiny a plochy určené na výsev, alebo výsadbu citlivých poľnohospodárskych plodín.</w:t>
      </w:r>
    </w:p>
    <w:p w14:paraId="60C0B9A8"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5C9F5E7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VPLYV NA UŽITOČNÉ A INÉ NECIEĽOVÉ ORGANIZMY</w:t>
      </w:r>
    </w:p>
    <w:p w14:paraId="68F8AFEF" w14:textId="00CFDCEB"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Aplikácia </w:t>
      </w:r>
      <w:r w:rsidR="00F45D30" w:rsidRPr="00CF1CC7">
        <w:rPr>
          <w:rFonts w:ascii="Times New Roman" w:hAnsi="Times New Roman" w:cs="Times New Roman"/>
          <w:sz w:val="24"/>
          <w:szCs w:val="24"/>
        </w:rPr>
        <w:t>THIFEN</w:t>
      </w:r>
      <w:r w:rsidR="00F45D30" w:rsidRPr="002A5F7D">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v súlade s návodom na použitie nemá negatívny vplyv na užitočné a iné necieľové organizmy.</w:t>
      </w:r>
    </w:p>
    <w:p w14:paraId="27824B74"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4C955CA2"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PRÍPRAVA POSTREKOVEJ KVAPALINY A ZNEŠKODNENIE OBALOV</w:t>
      </w:r>
    </w:p>
    <w:p w14:paraId="190F953C" w14:textId="2DB623B4"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Odvážené množstvo prípravku </w:t>
      </w:r>
      <w:r w:rsidR="00F45D30" w:rsidRPr="00CF1CC7">
        <w:rPr>
          <w:rFonts w:ascii="Times New Roman" w:hAnsi="Times New Roman" w:cs="Times New Roman"/>
          <w:sz w:val="24"/>
          <w:szCs w:val="24"/>
        </w:rPr>
        <w:t>THIFEN</w:t>
      </w:r>
      <w:r w:rsidR="00F45D30" w:rsidRPr="00E52019">
        <w:rPr>
          <w:rFonts w:ascii="Times New Roman" w:eastAsia="Times New Roman" w:hAnsi="Times New Roman" w:cs="Times New Roman"/>
          <w:sz w:val="24"/>
          <w:szCs w:val="24"/>
          <w:lang w:eastAsia="cs-CZ"/>
        </w:rPr>
        <w:t xml:space="preserve"> </w:t>
      </w:r>
      <w:r w:rsidR="00E52019" w:rsidRPr="00E52019">
        <w:rPr>
          <w:rFonts w:ascii="Times New Roman" w:eastAsia="Times New Roman" w:hAnsi="Times New Roman" w:cs="Times New Roman"/>
          <w:sz w:val="24"/>
          <w:szCs w:val="24"/>
          <w:lang w:eastAsia="cs-CZ"/>
        </w:rPr>
        <w:t>rozmiešajte v pomocnej nádobe v menšom množstve vody na riedku homogénnu kašu, vlejte za stáleho miešania do nádrže postrekovača naplnenej do polovice vodou a doplňte na požadovaný objem.</w:t>
      </w:r>
      <w:r w:rsidRPr="002A5F7D">
        <w:rPr>
          <w:rFonts w:ascii="Times New Roman" w:eastAsia="Times New Roman" w:hAnsi="Times New Roman" w:cs="Times New Roman"/>
          <w:sz w:val="24"/>
          <w:szCs w:val="24"/>
          <w:lang w:eastAsia="cs-CZ"/>
        </w:rPr>
        <w:t xml:space="preserve"> V prípade tank-mix zmesi dávkujte </w:t>
      </w:r>
      <w:r w:rsidR="00F45D30" w:rsidRPr="00CF1CC7">
        <w:rPr>
          <w:rFonts w:ascii="Times New Roman" w:hAnsi="Times New Roman" w:cs="Times New Roman"/>
          <w:sz w:val="24"/>
          <w:szCs w:val="24"/>
        </w:rPr>
        <w:t>THIFEN</w:t>
      </w:r>
      <w:r w:rsidR="00F45D30" w:rsidRPr="002A5F7D">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ako prvý. Postrekovú kvapalinu použite ihneď po príprave. Pripravte len také množstvo postrekovej kvapaliny, ktoré spotrebujete. Prázdny obal z tohto prípravku zneškodnite ako nebezpečný odpad.</w:t>
      </w:r>
    </w:p>
    <w:p w14:paraId="05DCE53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Zákaz opätovného použitia obalu alebo jeho použitia na iné účely!</w:t>
      </w:r>
    </w:p>
    <w:p w14:paraId="0652D863"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Rešpektujte, v prípade prípravy tank-mix kombinácie, nasledujúce poradie/postup rozpúšťania:</w:t>
      </w:r>
    </w:p>
    <w:p w14:paraId="3343FA2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p>
    <w:p w14:paraId="51E14A4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vodorozpustné vrecká</w:t>
      </w:r>
    </w:p>
    <w:p w14:paraId="4AEAFC3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 vode rozpustné granuláty</w:t>
      </w:r>
    </w:p>
    <w:p w14:paraId="33DA272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 vode dispergovateľné granuláty</w:t>
      </w:r>
    </w:p>
    <w:p w14:paraId="531C5829"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zmáčateľné prášky</w:t>
      </w:r>
    </w:p>
    <w:p w14:paraId="016EECB3"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suspenzné koncentráty na vodnej báze</w:t>
      </w:r>
    </w:p>
    <w:p w14:paraId="177B2D4D"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suspenzné emulzie a emulzie typu olej:voda</w:t>
      </w:r>
    </w:p>
    <w:p w14:paraId="6B85A522"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olejové disperzie</w:t>
      </w:r>
    </w:p>
    <w:p w14:paraId="011CFD9B"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emulzné koncentráty</w:t>
      </w:r>
    </w:p>
    <w:p w14:paraId="5039E2EC"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koncentráty pre riedenie vodou</w:t>
      </w:r>
    </w:p>
    <w:p w14:paraId="57C359BE"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adjuvanty, zmáčadlá, oleje</w:t>
      </w:r>
    </w:p>
    <w:p w14:paraId="7C56A370"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rozpustné hnojivá</w:t>
      </w:r>
    </w:p>
    <w:p w14:paraId="22C90297"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spomaľovače úletu</w:t>
      </w:r>
    </w:p>
    <w:p w14:paraId="14751AE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6B968ED2"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color w:val="000000"/>
          <w:sz w:val="24"/>
          <w:szCs w:val="24"/>
          <w:lang w:eastAsia="cs-CZ"/>
        </w:rPr>
        <w:t>ČISTENIE APLIKAČNÉHO ZARIADENIA</w:t>
      </w:r>
      <w:r w:rsidRPr="002A5F7D">
        <w:rPr>
          <w:rFonts w:ascii="Times New Roman" w:eastAsia="Times New Roman" w:hAnsi="Times New Roman" w:cs="Times New Roman"/>
          <w:sz w:val="24"/>
          <w:szCs w:val="24"/>
          <w:lang w:eastAsia="cs-CZ"/>
        </w:rPr>
        <w:t xml:space="preserve"> </w:t>
      </w:r>
    </w:p>
    <w:p w14:paraId="09F20C3F" w14:textId="0A96A60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Aby nedošlo neskôr k poškodeniu iných plodín ošetrovaných postrekovačom, v ktorom bol prípravok </w:t>
      </w:r>
      <w:r w:rsidR="00F45D30" w:rsidRPr="00CF1CC7">
        <w:rPr>
          <w:rFonts w:ascii="Times New Roman" w:hAnsi="Times New Roman" w:cs="Times New Roman"/>
          <w:sz w:val="24"/>
          <w:szCs w:val="24"/>
        </w:rPr>
        <w:t>THIFEN</w:t>
      </w:r>
      <w:r w:rsidRPr="002A5F7D">
        <w:rPr>
          <w:rFonts w:ascii="Times New Roman" w:eastAsia="Times New Roman" w:hAnsi="Times New Roman" w:cs="Times New Roman"/>
          <w:sz w:val="24"/>
          <w:szCs w:val="24"/>
          <w:lang w:eastAsia="cs-CZ"/>
        </w:rPr>
        <w:t>, všetky stopy prípravku musia byť ihneď po ukončení postreku odstránené podľa nasledovného postupu:</w:t>
      </w:r>
    </w:p>
    <w:p w14:paraId="25CC8D67"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Nádrž po skončení aplikácie vypustite a zvonku opláchnite čistou vodou.</w:t>
      </w:r>
    </w:p>
    <w:p w14:paraId="33596AF5"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Nádrž, ramená aj trysky dôkladne vypláchnite čistou vodou.</w:t>
      </w:r>
    </w:p>
    <w:p w14:paraId="0868F7DF"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Naplňte nádrž čistou vodou a pridajte roztok čpavku (100 ml čpavkovej vody na </w:t>
      </w:r>
      <w:smartTag w:uri="urn:schemas-microsoft-com:office:smarttags" w:element="metricconverter">
        <w:smartTagPr>
          <w:attr w:name="ProductID" w:val="100 litrov"/>
        </w:smartTagPr>
        <w:r w:rsidRPr="002A5F7D">
          <w:rPr>
            <w:rFonts w:ascii="Times New Roman" w:eastAsia="Times New Roman" w:hAnsi="Times New Roman" w:cs="Times New Roman"/>
            <w:sz w:val="24"/>
            <w:szCs w:val="24"/>
            <w:lang w:eastAsia="cs-CZ"/>
          </w:rPr>
          <w:t>100 litrov</w:t>
        </w:r>
      </w:smartTag>
      <w:r w:rsidRPr="002A5F7D">
        <w:rPr>
          <w:rFonts w:ascii="Times New Roman" w:eastAsia="Times New Roman" w:hAnsi="Times New Roman" w:cs="Times New Roman"/>
          <w:sz w:val="24"/>
          <w:szCs w:val="24"/>
          <w:lang w:eastAsia="cs-CZ"/>
        </w:rPr>
        <w:t xml:space="preserve"> vody) alebo zodpovedajúce množstvo prípravku All Clear Extra. Týmto roztokom vypláchnite ramená aj trysky, doplňte nádrž a nechajte 15 minút bez miešania. Potom vypustite.</w:t>
      </w:r>
    </w:p>
    <w:p w14:paraId="3DF9E8B3"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Trysky a sitká vyčistite samostatne v roztoku čpavkovej vody, alebo čistiacim roztokom pripraveným v pomere 50 ml All Clear Extra na </w:t>
      </w:r>
      <w:smartTag w:uri="urn:schemas-microsoft-com:office:smarttags" w:element="metricconverter">
        <w:smartTagPr>
          <w:attr w:name="ProductID" w:val="10 l"/>
        </w:smartTagPr>
        <w:r w:rsidRPr="002A5F7D">
          <w:rPr>
            <w:rFonts w:ascii="Times New Roman" w:eastAsia="Times New Roman" w:hAnsi="Times New Roman" w:cs="Times New Roman"/>
            <w:sz w:val="24"/>
            <w:szCs w:val="24"/>
            <w:lang w:eastAsia="cs-CZ"/>
          </w:rPr>
          <w:t>10 l</w:t>
        </w:r>
      </w:smartTag>
      <w:r w:rsidRPr="002A5F7D">
        <w:rPr>
          <w:rFonts w:ascii="Times New Roman" w:eastAsia="Times New Roman" w:hAnsi="Times New Roman" w:cs="Times New Roman"/>
          <w:sz w:val="24"/>
          <w:szCs w:val="24"/>
          <w:lang w:eastAsia="cs-CZ"/>
        </w:rPr>
        <w:t xml:space="preserve"> vody; na odstránenie stôp čpavku vypláchnite nádrž dôkladne čistou vodou a prepláchnite ramená aj trysky.</w:t>
      </w:r>
    </w:p>
    <w:p w14:paraId="3760E7D4"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Postrekovače nevyplachujte na obrábanej pôde ani v blízkosti studní, zdrojov podzemných vôd a recipientov povrchových vôd.</w:t>
      </w:r>
    </w:p>
    <w:p w14:paraId="1BAA90D3" w14:textId="77777777" w:rsidR="002A5F7D" w:rsidRPr="002A5F7D" w:rsidRDefault="002A5F7D" w:rsidP="002A5F7D">
      <w:pPr>
        <w:tabs>
          <w:tab w:val="left" w:pos="1630"/>
        </w:tabs>
        <w:spacing w:after="0" w:line="240" w:lineRule="auto"/>
        <w:rPr>
          <w:rFonts w:ascii="Times New Roman" w:eastAsia="Times New Roman" w:hAnsi="Times New Roman" w:cs="Times New Roman"/>
          <w:sz w:val="24"/>
          <w:szCs w:val="24"/>
          <w:lang w:eastAsia="cs-CZ"/>
        </w:rPr>
      </w:pPr>
    </w:p>
    <w:p w14:paraId="7982BC3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BEZPEČNOSTNÉ OPATRENIA</w:t>
      </w:r>
    </w:p>
    <w:p w14:paraId="277AF0A8"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Používajte pri aplikácii ochranný pracovný odev, ochrannú masku s filtrom, ochranné okuliare, alebo ochranný tvárový štít z ohľadom na parametre očnej dráždivosti zmáčadla Trend® 90, </w:t>
      </w:r>
      <w:r w:rsidRPr="002A5F7D">
        <w:rPr>
          <w:rFonts w:ascii="Times New Roman" w:eastAsia="Times New Roman" w:hAnsi="Times New Roman" w:cs="Times New Roman"/>
          <w:sz w:val="24"/>
          <w:szCs w:val="24"/>
          <w:lang w:eastAsia="cs-CZ"/>
        </w:rPr>
        <w:lastRenderedPageBreak/>
        <w:t>ochranné rukavice vhodné na prácu s chemikáliami, gumové topánky a pri príprave postrekovej kvapaliny aj zásteru z pogumovaného textilu.</w:t>
      </w:r>
    </w:p>
    <w:p w14:paraId="326F27E3"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6D59F48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Postrekujte len za bezvetria alebo pri miernom vánku, v tom prípade v smere vetra od pracujúcich. Počas práce a po nej, až do vyzlečenia pracovného odevu a umytia tváre a rúk teplou vodou a mydlom, nejedzte, nepite a nefajčite. Neošetrujte počas teplotných inverzií (t.j. malý pohyb vzduchu a s nadmorskou výškou zvyšujúca sa teplota), počas horúčav, sucha a nízkej relatívnej vlhkosti vzduchu - čo sú faktory zvyšujúce riziko. Postrek nesmie zasiahnuť vodné toky, priekopy a recipienty povrchových vôd.</w:t>
      </w:r>
    </w:p>
    <w:p w14:paraId="2F078AD5"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4F65DD7A"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Nemanipulujte s prípravkom v blízkosti studní otvorených drenáží a otvorenej kanalizácie! Neošetrujte v blízkosti miest, kde sa zrážková voda stekajúca z ošetrovaného poľa vlieva do trvácich alebo dočasných vodných tokov. Zabráňte dopadu priameho postreku ako aj úletu do vodných tokov a prirodzených aj umelých recipientov povrchových vôd. Dodržujte, za účelom ochrany vodných organizmov, neošetrené pásmo od vodných tokov a prirodzených aj umelých recipientov povrchových vôd.</w:t>
      </w:r>
    </w:p>
    <w:p w14:paraId="11EE71D5"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0391AA0F"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sám nehorí. Ak sa dostane do ohniska požiaru, haste najlepšie hasiacou penou alebo hasiacim práškom, eventuálne pieskom alebo zeminou. Vodu je možné použiť iba výnimočne a to vo forme jemnej hmly a iba v tých prípadoch keď je zabezpečené, že kontaminovaná voda neprenikne do verejnej kanalizácie, zdrojov spodných vôd a nezasiahne recipienty vôd povrchových.</w:t>
      </w:r>
    </w:p>
    <w:p w14:paraId="0635C557"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57E03D72"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Dôležité upozornenie</w:t>
      </w:r>
      <w:r w:rsidRPr="002A5F7D">
        <w:rPr>
          <w:rFonts w:ascii="Times New Roman" w:eastAsia="Times New Roman" w:hAnsi="Times New Roman" w:cs="Times New Roman"/>
          <w:sz w:val="24"/>
          <w:szCs w:val="24"/>
          <w:lang w:eastAsia="cs-CZ"/>
        </w:rPr>
        <w:t>: Pri požiarnom zásahu použite izolačné dýchacie prístroje, lebo pri horení môže dochádzať k vzniku toxických splodín!</w:t>
      </w:r>
    </w:p>
    <w:p w14:paraId="50A22A0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783288A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PRVÁ POMOC</w:t>
      </w:r>
    </w:p>
    <w:p w14:paraId="45B09CFF"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Všeobecné pokyny</w:t>
      </w:r>
      <w:r w:rsidRPr="002A5F7D">
        <w:rPr>
          <w:rFonts w:ascii="Times New Roman" w:eastAsia="Times New Roman" w:hAnsi="Times New Roman" w:cs="Times New Roman"/>
          <w:b/>
          <w:sz w:val="24"/>
          <w:szCs w:val="24"/>
          <w:lang w:eastAsia="cs-CZ"/>
        </w:rPr>
        <w:t>:</w:t>
      </w:r>
      <w:r w:rsidRPr="002A5F7D">
        <w:rPr>
          <w:rFonts w:ascii="Times New Roman" w:eastAsia="Times New Roman" w:hAnsi="Times New Roman" w:cs="Times New Roman"/>
          <w:sz w:val="24"/>
          <w:szCs w:val="24"/>
          <w:lang w:eastAsia="cs-CZ"/>
        </w:rPr>
        <w:t xml:space="preserve"> Pokiaľ sa prejavia zdravotné ťažkosti alebo v prípade pochybností vždy informujte lekára a poskytnite informácie z etikety/karty bezpečnostných údajov.</w:t>
      </w:r>
    </w:p>
    <w:p w14:paraId="2383BD14"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Pri nadýchaní</w:t>
      </w:r>
      <w:r w:rsidRPr="002A5F7D">
        <w:rPr>
          <w:rFonts w:ascii="Times New Roman" w:eastAsia="Times New Roman" w:hAnsi="Times New Roman" w:cs="Times New Roman"/>
          <w:sz w:val="24"/>
          <w:szCs w:val="24"/>
          <w:u w:val="single"/>
          <w:lang w:eastAsia="cs-CZ"/>
        </w:rPr>
        <w:t xml:space="preserve"> </w:t>
      </w:r>
      <w:r w:rsidRPr="002A5F7D">
        <w:rPr>
          <w:rFonts w:ascii="Times New Roman" w:eastAsia="Times New Roman" w:hAnsi="Times New Roman" w:cs="Times New Roman"/>
          <w:b/>
          <w:sz w:val="24"/>
          <w:szCs w:val="24"/>
          <w:u w:val="single"/>
          <w:lang w:eastAsia="cs-CZ"/>
        </w:rPr>
        <w:t>aerosólu pri aplikácii</w:t>
      </w:r>
      <w:r w:rsidRPr="002A5F7D">
        <w:rPr>
          <w:rFonts w:ascii="Times New Roman" w:eastAsia="Times New Roman" w:hAnsi="Times New Roman" w:cs="Times New Roman"/>
          <w:sz w:val="24"/>
          <w:szCs w:val="24"/>
          <w:lang w:eastAsia="cs-CZ"/>
        </w:rPr>
        <w:t>: Prerušte expozíciu, postihnutého presuňte na čerstvý vzduch, nenechajte prechladnúť, v prípade potreby aplikujte kyslík alebo umelé dýchanie. Pokiaľ došlo k významnej expozícii konzultujte s lekárom.</w:t>
      </w:r>
    </w:p>
    <w:p w14:paraId="0FF964F6"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u w:val="single"/>
          <w:lang w:eastAsia="cs-CZ"/>
        </w:rPr>
        <w:t>Po styku s pokožkou:</w:t>
      </w:r>
      <w:r w:rsidRPr="002A5F7D">
        <w:rPr>
          <w:rFonts w:ascii="Times New Roman" w:eastAsia="Times New Roman" w:hAnsi="Times New Roman" w:cs="Times New Roman"/>
          <w:bCs/>
          <w:sz w:val="24"/>
          <w:szCs w:val="24"/>
          <w:lang w:eastAsia="cs-CZ"/>
        </w:rPr>
        <w:t xml:space="preserve"> </w:t>
      </w:r>
      <w:r w:rsidRPr="002A5F7D">
        <w:rPr>
          <w:rFonts w:ascii="Times New Roman" w:eastAsia="Times New Roman" w:hAnsi="Times New Roman" w:cs="Times New Roman"/>
          <w:sz w:val="24"/>
          <w:szCs w:val="24"/>
          <w:lang w:eastAsia="cs-CZ"/>
        </w:rPr>
        <w:t>Odložte kontaminovaný odev. Okamžite umývajte mydlom a veľkým množstvom  pokiaľ možno teplej vody, dobre opláchnite. V prípade potreby (príznaky podráždenia) vyhľadajte lekársku pomoc.</w:t>
      </w:r>
    </w:p>
    <w:p w14:paraId="6DA2E9C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Po zasiahnutí očí:</w:t>
      </w:r>
      <w:r w:rsidRPr="002A5F7D">
        <w:rPr>
          <w:rFonts w:ascii="Times New Roman" w:eastAsia="Times New Roman" w:hAnsi="Times New Roman" w:cs="Times New Roman"/>
          <w:sz w:val="24"/>
          <w:szCs w:val="24"/>
          <w:lang w:eastAsia="cs-CZ"/>
        </w:rPr>
        <w:t xml:space="preserve"> Okamžite vyplachujte otvorené oči veľkým množstvom vlažnej tečúcej vody po dobu  minimálne 15  minút. V prípade príznakov podráždenia vyhľadajte lekársku pomoc.</w:t>
      </w:r>
    </w:p>
    <w:p w14:paraId="1DEFBB9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u w:val="single"/>
          <w:lang w:eastAsia="cs-CZ"/>
        </w:rPr>
        <w:t>Po náhodnom požití:</w:t>
      </w:r>
      <w:r w:rsidRPr="002A5F7D">
        <w:rPr>
          <w:rFonts w:ascii="Times New Roman" w:eastAsia="Times New Roman" w:hAnsi="Times New Roman" w:cs="Times New Roman"/>
          <w:bCs/>
          <w:sz w:val="24"/>
          <w:szCs w:val="24"/>
          <w:lang w:eastAsia="cs-CZ"/>
        </w:rPr>
        <w:t xml:space="preserve"> </w:t>
      </w:r>
      <w:r w:rsidRPr="002A5F7D">
        <w:rPr>
          <w:rFonts w:ascii="Times New Roman" w:eastAsia="Times New Roman" w:hAnsi="Times New Roman" w:cs="Times New Roman"/>
          <w:sz w:val="24"/>
          <w:szCs w:val="24"/>
          <w:lang w:eastAsia="cs-CZ"/>
        </w:rPr>
        <w:t>Vypláchnite ústa, nevyvolávajte zvracanie. Osobe v bezvedomí nikdy nič nepodávajte ústami. V prípade nehody alebo ťažkostí vyhľadajte lekársku pomoc a ukážte etiketu prípravku.</w:t>
      </w:r>
    </w:p>
    <w:p w14:paraId="10FCFF41" w14:textId="327E5B16"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Pokiaľ bola vyhľadaná lekárska pomoc, informujte lekára o prípravku, s ktorým postihnutý pracoval a o poskytnutej prvej pomoci. V prípade potreby je možné ďalší postup pri prvej pomoci (ako aj prípadnú terapiu) konzultovať s Národným toxikologickým informačným centrom v</w:t>
      </w:r>
      <w:r w:rsidR="00F45D30">
        <w:rPr>
          <w:rFonts w:ascii="Times New Roman" w:eastAsia="Times New Roman" w:hAnsi="Times New Roman" w:cs="Times New Roman"/>
          <w:sz w:val="24"/>
          <w:szCs w:val="24"/>
          <w:lang w:eastAsia="cs-CZ"/>
        </w:rPr>
        <w:t> </w:t>
      </w:r>
      <w:r w:rsidRPr="002A5F7D">
        <w:rPr>
          <w:rFonts w:ascii="Times New Roman" w:eastAsia="Times New Roman" w:hAnsi="Times New Roman" w:cs="Times New Roman"/>
          <w:sz w:val="24"/>
          <w:szCs w:val="24"/>
          <w:lang w:eastAsia="cs-CZ"/>
        </w:rPr>
        <w:t>Bratislave</w:t>
      </w:r>
      <w:r w:rsidR="00F45D30">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 xml:space="preserve"> </w:t>
      </w:r>
      <w:r w:rsidR="00F45D30" w:rsidRPr="00F45D30">
        <w:rPr>
          <w:rFonts w:ascii="Times New Roman" w:eastAsia="Times New Roman" w:hAnsi="Times New Roman" w:cs="Times New Roman"/>
          <w:sz w:val="24"/>
          <w:szCs w:val="24"/>
          <w:lang w:eastAsia="cs-CZ"/>
        </w:rPr>
        <w:t xml:space="preserve">tel. +421 (0)2 54 774 166, ntic@ntic.sk. </w:t>
      </w:r>
    </w:p>
    <w:p w14:paraId="54D92133"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p>
    <w:p w14:paraId="28DB916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SKLADOVANIE</w:t>
      </w:r>
    </w:p>
    <w:p w14:paraId="7A3C6B88" w14:textId="6C8C1DE2" w:rsidR="002A5F7D" w:rsidRPr="002A5F7D" w:rsidRDefault="002A5F7D" w:rsidP="00E52019">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sz w:val="24"/>
          <w:szCs w:val="24"/>
          <w:lang w:eastAsia="cs-CZ"/>
        </w:rPr>
        <w:t>Prípravok skladujte v uzatvorených originálnych obaloch v uzamknutých suchých a vetrateľných skladoch pri teplotách +5</w:t>
      </w:r>
      <w:r>
        <w:rPr>
          <w:rFonts w:ascii="Times New Roman" w:eastAsia="Times New Roman" w:hAnsi="Times New Roman" w:cs="Times New Roman"/>
          <w:sz w:val="24"/>
          <w:szCs w:val="24"/>
          <w:lang w:eastAsia="cs-CZ"/>
        </w:rPr>
        <w:t>°C</w:t>
      </w:r>
      <w:r w:rsidRPr="002A5F7D">
        <w:rPr>
          <w:rFonts w:ascii="Times New Roman" w:eastAsia="Times New Roman" w:hAnsi="Times New Roman" w:cs="Times New Roman"/>
          <w:sz w:val="24"/>
          <w:szCs w:val="24"/>
          <w:lang w:eastAsia="cs-CZ"/>
        </w:rPr>
        <w:t xml:space="preserve"> až +30</w:t>
      </w:r>
      <w:r w:rsidRPr="002A5F7D">
        <w:rPr>
          <w:rFonts w:ascii="Times New Roman" w:eastAsia="Times New Roman" w:hAnsi="Times New Roman" w:cs="Times New Roman"/>
          <w:sz w:val="24"/>
          <w:szCs w:val="24"/>
          <w:lang w:eastAsia="cs-CZ"/>
        </w:rPr>
        <w:sym w:font="Arial" w:char="00B0"/>
      </w:r>
      <w:r w:rsidRPr="002A5F7D">
        <w:rPr>
          <w:rFonts w:ascii="Times New Roman" w:eastAsia="Times New Roman" w:hAnsi="Times New Roman" w:cs="Times New Roman"/>
          <w:sz w:val="24"/>
          <w:szCs w:val="24"/>
          <w:lang w:eastAsia="cs-CZ"/>
        </w:rPr>
        <w:t xml:space="preserve">C, oddelene od potravín, krmív, hnojív, osív, liekov, dezinfekčných prostriedkov a obalov od týchto látok. </w:t>
      </w:r>
      <w:r w:rsidR="00E52019" w:rsidRPr="00E52019">
        <w:rPr>
          <w:rFonts w:ascii="Times New Roman" w:eastAsia="Times New Roman" w:hAnsi="Times New Roman" w:cs="Times New Roman"/>
          <w:sz w:val="24"/>
          <w:szCs w:val="24"/>
          <w:lang w:eastAsia="cs-CZ"/>
        </w:rPr>
        <w:t>Doba skladovateľnosti v originálnych neporušených obaloch je 2 roky od dátumu výroby</w:t>
      </w:r>
      <w:r w:rsidR="00E52019" w:rsidRPr="00E52019" w:rsidDel="00E52019">
        <w:rPr>
          <w:rFonts w:ascii="Times New Roman" w:eastAsia="Times New Roman" w:hAnsi="Times New Roman" w:cs="Times New Roman"/>
          <w:sz w:val="24"/>
          <w:szCs w:val="24"/>
          <w:lang w:eastAsia="cs-CZ"/>
        </w:rPr>
        <w:t xml:space="preserve"> </w:t>
      </w:r>
    </w:p>
    <w:p w14:paraId="519E2F13" w14:textId="77777777" w:rsidR="002A5F7D" w:rsidRPr="002A5F7D" w:rsidRDefault="002A5F7D" w:rsidP="002A5F7D">
      <w:pPr>
        <w:tabs>
          <w:tab w:val="left" w:pos="1384"/>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ZNEŠKODNENIE ZVYŠKOV</w:t>
      </w:r>
    </w:p>
    <w:p w14:paraId="3C80C957"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Nepoužité zvyšky prípravku v pôvodnom obale zneškodnite ako nebezpečný odpad.</w:t>
      </w:r>
    </w:p>
    <w:p w14:paraId="33B8D57D" w14:textId="77777777" w:rsid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14:paraId="54E2EFCE" w14:textId="77777777" w:rsidR="00E52019" w:rsidRPr="002A5F7D" w:rsidRDefault="00E52019" w:rsidP="002A5F7D">
      <w:pPr>
        <w:tabs>
          <w:tab w:val="left" w:pos="1630"/>
        </w:tabs>
        <w:spacing w:after="0" w:line="240" w:lineRule="auto"/>
        <w:jc w:val="both"/>
        <w:rPr>
          <w:rFonts w:ascii="Times New Roman" w:eastAsia="Times New Roman" w:hAnsi="Times New Roman" w:cs="Times New Roman"/>
          <w:sz w:val="24"/>
          <w:szCs w:val="24"/>
          <w:lang w:eastAsia="cs-CZ"/>
        </w:rPr>
      </w:pPr>
    </w:p>
    <w:p w14:paraId="2116920C"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Poznámka pre používateľa</w:t>
      </w:r>
    </w:p>
    <w:p w14:paraId="79ED928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Výrobca zaručuje kvalitu prípravku iba v prípade, že je skladovaný v originálnych uzatvorených obaloch. Neručí za škody vzniknuté nesprávnym skladovaním, alebo nesprávnym použitím. Zvláštne miestne faktory ako napríklad nezvyčajné pôdne a klimatické podmienky, alebo nové odrody môžu byť príčinou nižšej účinnosti prípravku alebo poškodenia plodiny, za čo výrobca tiež neručí.</w:t>
      </w:r>
    </w:p>
    <w:p w14:paraId="2A1B196A"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p>
    <w:p w14:paraId="6CAABF5D"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p>
    <w:p w14:paraId="6D7C340A"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Pictograms</w:t>
      </w:r>
    </w:p>
    <w:p w14:paraId="50E55B25"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noProof/>
          <w:sz w:val="24"/>
          <w:szCs w:val="24"/>
          <w:lang w:eastAsia="sk-SK"/>
        </w:rPr>
        <w:drawing>
          <wp:inline distT="0" distB="0" distL="0" distR="0" wp14:anchorId="0E29B319" wp14:editId="70C88E9C">
            <wp:extent cx="426720" cy="4572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457200"/>
                    </a:xfrm>
                    <a:prstGeom prst="rect">
                      <a:avLst/>
                    </a:prstGeom>
                    <a:noFill/>
                    <a:ln>
                      <a:noFill/>
                    </a:ln>
                  </pic:spPr>
                </pic:pic>
              </a:graphicData>
            </a:graphic>
          </wp:inline>
        </w:drawing>
      </w:r>
      <w:r w:rsidRPr="002A5F7D">
        <w:rPr>
          <w:rFonts w:ascii="Times New Roman" w:eastAsia="Times New Roman" w:hAnsi="Times New Roman" w:cs="Times New Roman"/>
          <w:noProof/>
          <w:sz w:val="24"/>
          <w:szCs w:val="24"/>
          <w:lang w:eastAsia="sk-SK"/>
        </w:rPr>
        <w:drawing>
          <wp:inline distT="0" distB="0" distL="0" distR="0" wp14:anchorId="5913F047" wp14:editId="6CF5CC80">
            <wp:extent cx="434340" cy="45720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457200"/>
                    </a:xfrm>
                    <a:prstGeom prst="rect">
                      <a:avLst/>
                    </a:prstGeom>
                    <a:noFill/>
                    <a:ln>
                      <a:noFill/>
                    </a:ln>
                  </pic:spPr>
                </pic:pic>
              </a:graphicData>
            </a:graphic>
          </wp:inline>
        </w:drawing>
      </w:r>
    </w:p>
    <w:p w14:paraId="09E6697F"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p>
    <w:p w14:paraId="6769D273"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Disposal/ Recycling</w:t>
      </w:r>
    </w:p>
    <w:p w14:paraId="61BB712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Green point / triangle with arrows „HDPE“ below / „2“ inside</w:t>
      </w:r>
    </w:p>
    <w:p w14:paraId="6EF0A3CE"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20C9105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5C84D935" w14:textId="77777777" w:rsidR="00816E88" w:rsidRDefault="00816E88"/>
    <w:sectPr w:rsidR="00816E88" w:rsidSect="00882D98">
      <w:headerReference w:type="default" r:id="rId10"/>
      <w:footerReference w:type="default" r:id="rId11"/>
      <w:pgSz w:w="11906" w:h="16838"/>
      <w:pgMar w:top="1418" w:right="127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C74D0" w16cid:durableId="1F966C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D934" w14:textId="77777777" w:rsidR="000D00A4" w:rsidRDefault="000D00A4" w:rsidP="002A5F7D">
      <w:pPr>
        <w:spacing w:after="0" w:line="240" w:lineRule="auto"/>
      </w:pPr>
      <w:r>
        <w:separator/>
      </w:r>
    </w:p>
  </w:endnote>
  <w:endnote w:type="continuationSeparator" w:id="0">
    <w:p w14:paraId="2C65F5FE" w14:textId="77777777" w:rsidR="000D00A4" w:rsidRDefault="000D00A4" w:rsidP="002A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65"/>
      <w:gridCol w:w="4933"/>
    </w:tblGrid>
    <w:tr w:rsidR="008E0B32" w:rsidRPr="00AB3101" w14:paraId="12AA641A" w14:textId="77777777" w:rsidTr="00922681">
      <w:tc>
        <w:tcPr>
          <w:tcW w:w="4605" w:type="dxa"/>
        </w:tcPr>
        <w:p w14:paraId="0AB619BD" w14:textId="72209CDE" w:rsidR="008E0B32" w:rsidRPr="00922681" w:rsidRDefault="00C91D95" w:rsidP="00CF1CC7">
          <w:pPr>
            <w:pStyle w:val="Pta"/>
            <w:rPr>
              <w:sz w:val="22"/>
              <w:szCs w:val="22"/>
            </w:rPr>
          </w:pPr>
          <w:r>
            <w:rPr>
              <w:sz w:val="22"/>
              <w:szCs w:val="22"/>
            </w:rPr>
            <w:t>ICZ/20</w:t>
          </w:r>
          <w:r w:rsidR="00CF1CC7">
            <w:rPr>
              <w:sz w:val="22"/>
              <w:szCs w:val="22"/>
            </w:rPr>
            <w:t>23</w:t>
          </w:r>
          <w:r>
            <w:rPr>
              <w:sz w:val="22"/>
              <w:szCs w:val="22"/>
            </w:rPr>
            <w:t>/</w:t>
          </w:r>
          <w:r w:rsidR="00CF1CC7">
            <w:rPr>
              <w:sz w:val="22"/>
              <w:szCs w:val="22"/>
            </w:rPr>
            <w:t>14146</w:t>
          </w:r>
          <w:r>
            <w:rPr>
              <w:sz w:val="22"/>
              <w:szCs w:val="22"/>
            </w:rPr>
            <w:t>/</w:t>
          </w:r>
          <w:r w:rsidR="00CF1CC7">
            <w:rPr>
              <w:sz w:val="22"/>
              <w:szCs w:val="22"/>
            </w:rPr>
            <w:t>ca</w:t>
          </w:r>
        </w:p>
      </w:tc>
      <w:tc>
        <w:tcPr>
          <w:tcW w:w="5001" w:type="dxa"/>
        </w:tcPr>
        <w:p w14:paraId="07062AF3" w14:textId="4F638920" w:rsidR="008E0B32" w:rsidRPr="00922681" w:rsidRDefault="00C91D95" w:rsidP="00AB3101">
          <w:pPr>
            <w:pStyle w:val="Pta"/>
            <w:jc w:val="right"/>
            <w:rPr>
              <w:sz w:val="22"/>
              <w:szCs w:val="22"/>
            </w:rPr>
          </w:pPr>
          <w:r w:rsidRPr="00922681">
            <w:rPr>
              <w:rStyle w:val="slostrany"/>
              <w:sz w:val="22"/>
              <w:szCs w:val="22"/>
            </w:rPr>
            <w:fldChar w:fldCharType="begin"/>
          </w:r>
          <w:r w:rsidRPr="00922681">
            <w:rPr>
              <w:rStyle w:val="slostrany"/>
              <w:sz w:val="22"/>
              <w:szCs w:val="22"/>
            </w:rPr>
            <w:instrText xml:space="preserve"> PAGE </w:instrText>
          </w:r>
          <w:r w:rsidRPr="00922681">
            <w:rPr>
              <w:rStyle w:val="slostrany"/>
              <w:sz w:val="22"/>
              <w:szCs w:val="22"/>
            </w:rPr>
            <w:fldChar w:fldCharType="separate"/>
          </w:r>
          <w:r w:rsidR="00D648D8">
            <w:rPr>
              <w:rStyle w:val="slostrany"/>
              <w:noProof/>
              <w:sz w:val="22"/>
              <w:szCs w:val="22"/>
            </w:rPr>
            <w:t>1</w:t>
          </w:r>
          <w:r w:rsidRPr="00922681">
            <w:rPr>
              <w:rStyle w:val="slostrany"/>
              <w:sz w:val="22"/>
              <w:szCs w:val="22"/>
            </w:rPr>
            <w:fldChar w:fldCharType="end"/>
          </w:r>
          <w:r w:rsidRPr="00922681">
            <w:rPr>
              <w:rStyle w:val="slostrany"/>
              <w:sz w:val="22"/>
              <w:szCs w:val="22"/>
            </w:rPr>
            <w:t>/</w:t>
          </w:r>
          <w:r w:rsidRPr="00922681">
            <w:rPr>
              <w:rStyle w:val="slostrany"/>
              <w:sz w:val="22"/>
              <w:szCs w:val="22"/>
            </w:rPr>
            <w:fldChar w:fldCharType="begin"/>
          </w:r>
          <w:r w:rsidRPr="00922681">
            <w:rPr>
              <w:rStyle w:val="slostrany"/>
              <w:sz w:val="22"/>
              <w:szCs w:val="22"/>
            </w:rPr>
            <w:instrText xml:space="preserve"> NUMPAGES </w:instrText>
          </w:r>
          <w:r w:rsidRPr="00922681">
            <w:rPr>
              <w:rStyle w:val="slostrany"/>
              <w:sz w:val="22"/>
              <w:szCs w:val="22"/>
            </w:rPr>
            <w:fldChar w:fldCharType="separate"/>
          </w:r>
          <w:r w:rsidR="00D648D8">
            <w:rPr>
              <w:rStyle w:val="slostrany"/>
              <w:noProof/>
              <w:sz w:val="22"/>
              <w:szCs w:val="22"/>
            </w:rPr>
            <w:t>6</w:t>
          </w:r>
          <w:r w:rsidRPr="00922681">
            <w:rPr>
              <w:rStyle w:val="slostrany"/>
              <w:sz w:val="22"/>
              <w:szCs w:val="22"/>
            </w:rPr>
            <w:fldChar w:fldCharType="end"/>
          </w:r>
        </w:p>
      </w:tc>
    </w:tr>
  </w:tbl>
  <w:p w14:paraId="2DCEF949" w14:textId="77777777" w:rsidR="008E0B32" w:rsidRDefault="000D00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F4F5" w14:textId="77777777" w:rsidR="000D00A4" w:rsidRDefault="000D00A4" w:rsidP="002A5F7D">
      <w:pPr>
        <w:spacing w:after="0" w:line="240" w:lineRule="auto"/>
      </w:pPr>
      <w:r>
        <w:separator/>
      </w:r>
    </w:p>
  </w:footnote>
  <w:footnote w:type="continuationSeparator" w:id="0">
    <w:p w14:paraId="6369567E" w14:textId="77777777" w:rsidR="000D00A4" w:rsidRDefault="000D00A4" w:rsidP="002A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4686" w14:textId="77777777" w:rsidR="008E0B32" w:rsidRDefault="000D00A4" w:rsidP="00402CD0">
    <w:pPr>
      <w:pStyle w:val="Hlavika"/>
      <w:jc w:val="right"/>
    </w:pPr>
  </w:p>
  <w:p w14:paraId="40732A18" w14:textId="210BC60E" w:rsidR="008E0B32" w:rsidRPr="00922681" w:rsidRDefault="00C91D95" w:rsidP="00402CD0">
    <w:pPr>
      <w:pStyle w:val="Hlavika"/>
      <w:jc w:val="right"/>
      <w:rPr>
        <w:sz w:val="22"/>
        <w:szCs w:val="22"/>
      </w:rPr>
    </w:pPr>
    <w:r w:rsidRPr="00922681">
      <w:rPr>
        <w:sz w:val="22"/>
        <w:szCs w:val="22"/>
      </w:rPr>
      <w:t xml:space="preserve">Etiketa schválená: </w:t>
    </w:r>
    <w:r w:rsidR="00D648D8">
      <w:rPr>
        <w:sz w:val="22"/>
        <w:szCs w:val="22"/>
      </w:rPr>
      <w:t>20</w:t>
    </w:r>
    <w:r w:rsidR="00392DFB">
      <w:rPr>
        <w:sz w:val="22"/>
        <w:szCs w:val="22"/>
      </w:rPr>
      <w:t>.11.20</w:t>
    </w:r>
    <w:r w:rsidR="00CF1CC7">
      <w:rPr>
        <w:sz w:val="22"/>
        <w:szCs w:val="22"/>
      </w:rPr>
      <w:t>23</w:t>
    </w:r>
  </w:p>
  <w:p w14:paraId="1D22A307" w14:textId="77777777" w:rsidR="008E0B32" w:rsidRPr="00402CD0" w:rsidRDefault="000D00A4" w:rsidP="00402CD0">
    <w:pPr>
      <w:pStyle w:val="Hlavik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8526BA8"/>
    <w:multiLevelType w:val="hybridMultilevel"/>
    <w:tmpl w:val="B7A49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D"/>
    <w:rsid w:val="00032401"/>
    <w:rsid w:val="000D00A4"/>
    <w:rsid w:val="001952EC"/>
    <w:rsid w:val="002A359C"/>
    <w:rsid w:val="002A5F7D"/>
    <w:rsid w:val="00392DFB"/>
    <w:rsid w:val="006A01AB"/>
    <w:rsid w:val="00816E88"/>
    <w:rsid w:val="00B254F7"/>
    <w:rsid w:val="00C26B54"/>
    <w:rsid w:val="00C91D95"/>
    <w:rsid w:val="00CF1CC7"/>
    <w:rsid w:val="00D648D8"/>
    <w:rsid w:val="00D769A3"/>
    <w:rsid w:val="00E52019"/>
    <w:rsid w:val="00E77086"/>
    <w:rsid w:val="00E93CD3"/>
    <w:rsid w:val="00F45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1C652F"/>
  <w15:chartTrackingRefBased/>
  <w15:docId w15:val="{242DAB2A-5A0A-46E2-8B2F-B51647A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Normlny"/>
    <w:link w:val="Nadpis4Char"/>
    <w:uiPriority w:val="9"/>
    <w:qFormat/>
    <w:rsid w:val="002A5F7D"/>
    <w:pPr>
      <w:keepNext/>
      <w:spacing w:after="0" w:line="240" w:lineRule="auto"/>
      <w:outlineLvl w:val="3"/>
    </w:pPr>
    <w:rPr>
      <w:rFonts w:ascii="Comic Sans MS" w:eastAsia="Times New Roman" w:hAnsi="Comic Sans MS" w:cs="Times New Roman"/>
      <w:b/>
      <w:caps/>
      <w:sz w:val="16"/>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2A5F7D"/>
    <w:rPr>
      <w:rFonts w:ascii="Comic Sans MS" w:eastAsia="Times New Roman" w:hAnsi="Comic Sans MS" w:cs="Times New Roman"/>
      <w:b/>
      <w:caps/>
      <w:sz w:val="16"/>
      <w:szCs w:val="20"/>
      <w:lang w:eastAsia="cs-CZ"/>
    </w:rPr>
  </w:style>
  <w:style w:type="paragraph" w:styleId="Zkladntext">
    <w:name w:val="Body Text"/>
    <w:basedOn w:val="Normlny"/>
    <w:link w:val="ZkladntextChar"/>
    <w:uiPriority w:val="99"/>
    <w:rsid w:val="002A5F7D"/>
    <w:pPr>
      <w:spacing w:after="0" w:line="240" w:lineRule="auto"/>
    </w:pPr>
    <w:rPr>
      <w:rFonts w:ascii="Arial" w:eastAsia="Times New Roman" w:hAnsi="Arial" w:cs="Arial"/>
      <w:sz w:val="18"/>
      <w:szCs w:val="18"/>
      <w:lang w:eastAsia="cs-CZ"/>
    </w:rPr>
  </w:style>
  <w:style w:type="character" w:customStyle="1" w:styleId="ZkladntextChar">
    <w:name w:val="Základný text Char"/>
    <w:basedOn w:val="Predvolenpsmoodseku"/>
    <w:link w:val="Zkladntext"/>
    <w:uiPriority w:val="99"/>
    <w:rsid w:val="002A5F7D"/>
    <w:rPr>
      <w:rFonts w:ascii="Arial" w:eastAsia="Times New Roman" w:hAnsi="Arial" w:cs="Arial"/>
      <w:sz w:val="18"/>
      <w:szCs w:val="18"/>
      <w:lang w:eastAsia="cs-CZ"/>
    </w:rPr>
  </w:style>
  <w:style w:type="paragraph" w:styleId="Hlavika">
    <w:name w:val="header"/>
    <w:basedOn w:val="Normlny"/>
    <w:link w:val="HlavikaChar"/>
    <w:uiPriority w:val="99"/>
    <w:rsid w:val="002A5F7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2A5F7D"/>
    <w:rPr>
      <w:rFonts w:ascii="Times New Roman" w:eastAsia="Times New Roman" w:hAnsi="Times New Roman" w:cs="Times New Roman"/>
      <w:sz w:val="24"/>
      <w:szCs w:val="24"/>
      <w:lang w:eastAsia="cs-CZ"/>
    </w:rPr>
  </w:style>
  <w:style w:type="paragraph" w:styleId="Pta">
    <w:name w:val="footer"/>
    <w:basedOn w:val="Normlny"/>
    <w:link w:val="PtaChar"/>
    <w:uiPriority w:val="99"/>
    <w:rsid w:val="002A5F7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2A5F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5F7D"/>
    <w:rPr>
      <w:rFonts w:cs="Times New Roman"/>
    </w:rPr>
  </w:style>
  <w:style w:type="paragraph" w:styleId="Zkladntext3">
    <w:name w:val="Body Text 3"/>
    <w:basedOn w:val="Normlny"/>
    <w:link w:val="Zkladntext3Char"/>
    <w:uiPriority w:val="99"/>
    <w:rsid w:val="002A5F7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2A5F7D"/>
    <w:rPr>
      <w:rFonts w:ascii="Times New Roman" w:eastAsia="Times New Roman" w:hAnsi="Times New Roman" w:cs="Times New Roman"/>
      <w:sz w:val="16"/>
      <w:szCs w:val="16"/>
      <w:lang w:eastAsia="cs-CZ"/>
    </w:rPr>
  </w:style>
  <w:style w:type="paragraph" w:customStyle="1" w:styleId="pozor">
    <w:name w:val="pozor"/>
    <w:basedOn w:val="Normlny"/>
    <w:rsid w:val="002A5F7D"/>
    <w:pPr>
      <w:keepNext/>
      <w:spacing w:before="120" w:after="0" w:line="240" w:lineRule="auto"/>
      <w:jc w:val="both"/>
    </w:pPr>
    <w:rPr>
      <w:rFonts w:ascii="Times New Roman" w:eastAsia="Times New Roman" w:hAnsi="Times New Roman" w:cs="Times New Roman"/>
      <w:b/>
      <w:sz w:val="28"/>
      <w:szCs w:val="20"/>
    </w:rPr>
  </w:style>
  <w:style w:type="paragraph" w:styleId="Textbubliny">
    <w:name w:val="Balloon Text"/>
    <w:basedOn w:val="Normlny"/>
    <w:link w:val="TextbublinyChar"/>
    <w:uiPriority w:val="99"/>
    <w:semiHidden/>
    <w:unhideWhenUsed/>
    <w:rsid w:val="002A5F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5F7D"/>
    <w:rPr>
      <w:rFonts w:ascii="Segoe UI" w:hAnsi="Segoe UI" w:cs="Segoe UI"/>
      <w:sz w:val="18"/>
      <w:szCs w:val="18"/>
    </w:rPr>
  </w:style>
  <w:style w:type="character" w:styleId="Odkaznakomentr">
    <w:name w:val="annotation reference"/>
    <w:basedOn w:val="Predvolenpsmoodseku"/>
    <w:uiPriority w:val="99"/>
    <w:semiHidden/>
    <w:unhideWhenUsed/>
    <w:rsid w:val="00E52019"/>
    <w:rPr>
      <w:sz w:val="16"/>
      <w:szCs w:val="16"/>
    </w:rPr>
  </w:style>
  <w:style w:type="paragraph" w:styleId="Textkomentra">
    <w:name w:val="annotation text"/>
    <w:basedOn w:val="Normlny"/>
    <w:link w:val="TextkomentraChar"/>
    <w:uiPriority w:val="99"/>
    <w:semiHidden/>
    <w:unhideWhenUsed/>
    <w:rsid w:val="00E52019"/>
    <w:pPr>
      <w:spacing w:line="240" w:lineRule="auto"/>
    </w:pPr>
    <w:rPr>
      <w:sz w:val="20"/>
      <w:szCs w:val="20"/>
    </w:rPr>
  </w:style>
  <w:style w:type="character" w:customStyle="1" w:styleId="TextkomentraChar">
    <w:name w:val="Text komentára Char"/>
    <w:basedOn w:val="Predvolenpsmoodseku"/>
    <w:link w:val="Textkomentra"/>
    <w:uiPriority w:val="99"/>
    <w:semiHidden/>
    <w:rsid w:val="00E52019"/>
    <w:rPr>
      <w:sz w:val="20"/>
      <w:szCs w:val="20"/>
    </w:rPr>
  </w:style>
  <w:style w:type="paragraph" w:styleId="Predmetkomentra">
    <w:name w:val="annotation subject"/>
    <w:basedOn w:val="Textkomentra"/>
    <w:next w:val="Textkomentra"/>
    <w:link w:val="PredmetkomentraChar"/>
    <w:uiPriority w:val="99"/>
    <w:semiHidden/>
    <w:unhideWhenUsed/>
    <w:rsid w:val="00E52019"/>
    <w:rPr>
      <w:b/>
      <w:bCs/>
    </w:rPr>
  </w:style>
  <w:style w:type="character" w:customStyle="1" w:styleId="PredmetkomentraChar">
    <w:name w:val="Predmet komentára Char"/>
    <w:basedOn w:val="TextkomentraChar"/>
    <w:link w:val="Predmetkomentra"/>
    <w:uiPriority w:val="99"/>
    <w:semiHidden/>
    <w:rsid w:val="00E52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1993</Words>
  <Characters>11365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Kavalová Zuzana</dc:creator>
  <cp:keywords/>
  <dc:description/>
  <cp:lastModifiedBy>Čambalová Marcela, Ing.</cp:lastModifiedBy>
  <cp:revision>4</cp:revision>
  <dcterms:created xsi:type="dcterms:W3CDTF">2023-11-20T10:26:00Z</dcterms:created>
  <dcterms:modified xsi:type="dcterms:W3CDTF">2023-11-20T14:52:00Z</dcterms:modified>
</cp:coreProperties>
</file>